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6C" w:rsidRPr="00F43506" w:rsidRDefault="003D0344" w:rsidP="00921078">
      <w:pPr>
        <w:widowContro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X</w:t>
      </w:r>
      <w:r w:rsidRPr="003D0344">
        <w:rPr>
          <w:rFonts w:ascii="Garamond" w:hAnsi="Garamond"/>
          <w:b/>
          <w:sz w:val="28"/>
          <w:szCs w:val="28"/>
        </w:rPr>
        <w:t>.</w:t>
      </w:r>
      <w:r>
        <w:rPr>
          <w:rFonts w:ascii="Garamond" w:hAnsi="Garamond"/>
          <w:b/>
          <w:sz w:val="28"/>
          <w:szCs w:val="28"/>
        </w:rPr>
        <w:t xml:space="preserve">1. </w:t>
      </w:r>
      <w:r w:rsidR="00796D6C" w:rsidRPr="00145E81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3F7408">
        <w:rPr>
          <w:rFonts w:ascii="Garamond" w:hAnsi="Garamond"/>
          <w:b/>
          <w:sz w:val="28"/>
          <w:szCs w:val="28"/>
        </w:rPr>
        <w:t xml:space="preserve">упрощением процедуры изменения ГТП при строительстве объектов </w:t>
      </w:r>
      <w:proofErr w:type="spellStart"/>
      <w:r w:rsidR="00E6328B">
        <w:rPr>
          <w:rFonts w:ascii="Garamond" w:hAnsi="Garamond"/>
          <w:b/>
          <w:sz w:val="28"/>
          <w:szCs w:val="28"/>
        </w:rPr>
        <w:t>электросетевого</w:t>
      </w:r>
      <w:proofErr w:type="spellEnd"/>
      <w:r w:rsidR="00E6328B">
        <w:rPr>
          <w:rFonts w:ascii="Garamond" w:hAnsi="Garamond"/>
          <w:b/>
          <w:sz w:val="28"/>
          <w:szCs w:val="28"/>
        </w:rPr>
        <w:t xml:space="preserve"> хозяйства</w:t>
      </w:r>
    </w:p>
    <w:p w:rsidR="00796D6C" w:rsidRDefault="00796D6C" w:rsidP="00921078">
      <w:pPr>
        <w:widowControl w:val="0"/>
        <w:jc w:val="right"/>
        <w:rPr>
          <w:rFonts w:ascii="Garamond" w:hAnsi="Garamond"/>
          <w:b/>
          <w:sz w:val="28"/>
          <w:szCs w:val="28"/>
        </w:rPr>
      </w:pPr>
    </w:p>
    <w:p w:rsidR="00796D6C" w:rsidRPr="003F7408" w:rsidRDefault="00796D6C" w:rsidP="00921078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145E81">
        <w:rPr>
          <w:rFonts w:ascii="Garamond" w:hAnsi="Garamond"/>
          <w:b/>
          <w:sz w:val="28"/>
          <w:szCs w:val="28"/>
        </w:rPr>
        <w:t xml:space="preserve">Приложение № </w:t>
      </w:r>
      <w:r w:rsidR="003D0344">
        <w:rPr>
          <w:rFonts w:ascii="Garamond" w:hAnsi="Garamond"/>
          <w:b/>
          <w:sz w:val="28"/>
          <w:szCs w:val="28"/>
        </w:rPr>
        <w:t>10.1</w:t>
      </w:r>
    </w:p>
    <w:p w:rsidR="00796D6C" w:rsidRPr="001E0376" w:rsidRDefault="00796D6C" w:rsidP="00921078">
      <w:pPr>
        <w:widowControl w:val="0"/>
        <w:rPr>
          <w:rFonts w:ascii="Garamond" w:hAnsi="Garamond"/>
          <w:b/>
          <w:caps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58"/>
      </w:tblGrid>
      <w:tr w:rsidR="00796D6C" w:rsidRPr="00145E81" w:rsidTr="003D0344">
        <w:trPr>
          <w:trHeight w:val="830"/>
        </w:trPr>
        <w:tc>
          <w:tcPr>
            <w:tcW w:w="5000" w:type="pct"/>
          </w:tcPr>
          <w:p w:rsidR="00796D6C" w:rsidRPr="00041077" w:rsidRDefault="00796D6C" w:rsidP="00921078">
            <w:pPr>
              <w:widowControl w:val="0"/>
              <w:rPr>
                <w:rFonts w:ascii="Garamond" w:hAnsi="Garamond"/>
              </w:rPr>
            </w:pPr>
            <w:r w:rsidRPr="00041077">
              <w:rPr>
                <w:rFonts w:ascii="Garamond" w:hAnsi="Garamond"/>
                <w:b/>
              </w:rPr>
              <w:t>Инициатор:</w:t>
            </w:r>
            <w:r w:rsidR="003D0344">
              <w:rPr>
                <w:rFonts w:ascii="Garamond" w:hAnsi="Garamond"/>
                <w:b/>
              </w:rPr>
              <w:t xml:space="preserve"> </w:t>
            </w:r>
            <w:r w:rsidR="003D0344">
              <w:rPr>
                <w:rFonts w:ascii="Garamond" w:hAnsi="Garamond"/>
              </w:rPr>
              <w:t>ч</w:t>
            </w:r>
            <w:r w:rsidR="00E6328B">
              <w:rPr>
                <w:rFonts w:ascii="Garamond" w:hAnsi="Garamond"/>
              </w:rPr>
              <w:t>лен Наблюдательного совета НП «С</w:t>
            </w:r>
            <w:r w:rsidR="00B42B25">
              <w:rPr>
                <w:rFonts w:ascii="Garamond" w:hAnsi="Garamond"/>
              </w:rPr>
              <w:t>овет рынка</w:t>
            </w:r>
            <w:r w:rsidR="00E6328B">
              <w:rPr>
                <w:rFonts w:ascii="Garamond" w:hAnsi="Garamond"/>
              </w:rPr>
              <w:t>» С.В. Савин</w:t>
            </w:r>
            <w:r w:rsidR="003D0344">
              <w:rPr>
                <w:rFonts w:ascii="Garamond" w:hAnsi="Garamond"/>
              </w:rPr>
              <w:t>.</w:t>
            </w:r>
          </w:p>
          <w:p w:rsidR="00796D6C" w:rsidRDefault="00796D6C" w:rsidP="00921078">
            <w:pPr>
              <w:widowControl w:val="0"/>
              <w:jc w:val="both"/>
              <w:rPr>
                <w:rFonts w:ascii="Garamond" w:hAnsi="Garamond"/>
                <w:color w:val="000000"/>
              </w:rPr>
            </w:pPr>
            <w:r w:rsidRPr="00041077">
              <w:rPr>
                <w:rFonts w:ascii="Garamond" w:hAnsi="Garamond" w:cs="Gautami"/>
                <w:b/>
              </w:rPr>
              <w:t>Обоснование</w:t>
            </w:r>
            <w:r w:rsidRPr="00041077">
              <w:rPr>
                <w:rFonts w:ascii="Garamond" w:hAnsi="Garamond"/>
                <w:b/>
              </w:rPr>
              <w:t xml:space="preserve">: </w:t>
            </w:r>
            <w:r w:rsidR="003D0344">
              <w:rPr>
                <w:rFonts w:ascii="Garamond" w:hAnsi="Garamond"/>
              </w:rPr>
              <w:t>н</w:t>
            </w:r>
            <w:r w:rsidR="00EC3AF1">
              <w:rPr>
                <w:rFonts w:ascii="Garamond" w:hAnsi="Garamond"/>
              </w:rPr>
              <w:t>еобходимост</w:t>
            </w:r>
            <w:r w:rsidR="00921078">
              <w:rPr>
                <w:rFonts w:ascii="Garamond" w:hAnsi="Garamond"/>
              </w:rPr>
              <w:t>ь</w:t>
            </w:r>
            <w:r w:rsidR="003D0344">
              <w:rPr>
                <w:rFonts w:ascii="Garamond" w:hAnsi="Garamond"/>
              </w:rPr>
              <w:t xml:space="preserve"> </w:t>
            </w:r>
            <w:r w:rsidR="003F7408" w:rsidRPr="003F7408">
              <w:rPr>
                <w:rFonts w:ascii="Garamond" w:hAnsi="Garamond"/>
              </w:rPr>
              <w:t>упрощени</w:t>
            </w:r>
            <w:r w:rsidR="003D0344">
              <w:rPr>
                <w:rFonts w:ascii="Garamond" w:hAnsi="Garamond"/>
              </w:rPr>
              <w:t>я</w:t>
            </w:r>
            <w:r w:rsidR="003F7408" w:rsidRPr="003F7408">
              <w:rPr>
                <w:rFonts w:ascii="Garamond" w:hAnsi="Garamond"/>
              </w:rPr>
              <w:t xml:space="preserve"> процедуры изменения ГТП при строительстве объектов ЕНЭС</w:t>
            </w:r>
            <w:r w:rsidR="008F1468">
              <w:rPr>
                <w:rFonts w:ascii="Garamond" w:hAnsi="Garamond"/>
              </w:rPr>
              <w:t>.</w:t>
            </w:r>
          </w:p>
          <w:p w:rsidR="00796D6C" w:rsidRPr="00145E81" w:rsidRDefault="00796D6C" w:rsidP="00A815E4">
            <w:pPr>
              <w:widowControl w:val="0"/>
              <w:jc w:val="both"/>
              <w:rPr>
                <w:rFonts w:ascii="Garamond" w:hAnsi="Garamond"/>
              </w:rPr>
            </w:pPr>
            <w:r w:rsidRPr="00041077">
              <w:rPr>
                <w:rFonts w:ascii="Garamond" w:hAnsi="Garamond"/>
                <w:b/>
              </w:rPr>
              <w:t>Дата вступления в силу:</w:t>
            </w:r>
            <w:r w:rsidR="003D0344">
              <w:rPr>
                <w:rFonts w:ascii="Garamond" w:hAnsi="Garamond"/>
                <w:b/>
              </w:rPr>
              <w:t xml:space="preserve"> </w:t>
            </w:r>
            <w:r w:rsidR="00A815E4">
              <w:rPr>
                <w:rFonts w:ascii="Garamond" w:hAnsi="Garamond"/>
              </w:rPr>
              <w:t>2</w:t>
            </w:r>
            <w:r w:rsidR="00816506">
              <w:rPr>
                <w:rFonts w:ascii="Garamond" w:hAnsi="Garamond"/>
              </w:rPr>
              <w:t xml:space="preserve">1 </w:t>
            </w:r>
            <w:r w:rsidR="00A815E4">
              <w:rPr>
                <w:rFonts w:ascii="Garamond" w:hAnsi="Garamond"/>
              </w:rPr>
              <w:t>февраля</w:t>
            </w:r>
            <w:r w:rsidR="00816506">
              <w:rPr>
                <w:rFonts w:ascii="Garamond" w:hAnsi="Garamond"/>
              </w:rPr>
              <w:t xml:space="preserve"> 201</w:t>
            </w:r>
            <w:r w:rsidR="003F7408">
              <w:rPr>
                <w:rFonts w:ascii="Garamond" w:hAnsi="Garamond"/>
              </w:rPr>
              <w:t>3</w:t>
            </w:r>
            <w:r w:rsidR="00816506">
              <w:rPr>
                <w:rFonts w:ascii="Garamond" w:hAnsi="Garamond"/>
              </w:rPr>
              <w:t xml:space="preserve"> года.</w:t>
            </w:r>
          </w:p>
        </w:tc>
      </w:tr>
    </w:tbl>
    <w:p w:rsidR="00796D6C" w:rsidRPr="00145E81" w:rsidRDefault="00796D6C" w:rsidP="00921078">
      <w:pPr>
        <w:pStyle w:val="20"/>
        <w:keepNext w:val="0"/>
        <w:widowControl w:val="0"/>
        <w:spacing w:before="0" w:after="0"/>
        <w:rPr>
          <w:rFonts w:ascii="Garamond" w:eastAsia="Calibri" w:hAnsi="Garamond"/>
          <w:bCs w:val="0"/>
          <w:i w:val="0"/>
          <w:iCs w:val="0"/>
          <w:sz w:val="26"/>
          <w:szCs w:val="26"/>
        </w:rPr>
      </w:pPr>
    </w:p>
    <w:p w:rsidR="00796D6C" w:rsidRDefault="00796D6C" w:rsidP="00921078">
      <w:pPr>
        <w:widowControl w:val="0"/>
        <w:rPr>
          <w:rFonts w:ascii="Garamond" w:hAnsi="Garamond"/>
          <w:b/>
          <w:sz w:val="26"/>
          <w:szCs w:val="26"/>
        </w:rPr>
      </w:pPr>
      <w:r w:rsidRPr="00145E81">
        <w:rPr>
          <w:rFonts w:ascii="Garamond" w:hAnsi="Garamond"/>
          <w:b/>
          <w:sz w:val="26"/>
          <w:szCs w:val="26"/>
        </w:rPr>
        <w:t>Предложения по изменениям и дополнениям в ПОЛОЖЕНИЕ О ПОРЯДКЕ ПОЛУЧЕНИЯ СТАТУСА СУБЪЕКТА ОПТОВ</w:t>
      </w:r>
      <w:r>
        <w:rPr>
          <w:rFonts w:ascii="Garamond" w:hAnsi="Garamond"/>
          <w:b/>
          <w:sz w:val="26"/>
          <w:szCs w:val="26"/>
        </w:rPr>
        <w:t>О</w:t>
      </w:r>
      <w:r w:rsidRPr="00145E81">
        <w:rPr>
          <w:rFonts w:ascii="Garamond" w:hAnsi="Garamond"/>
          <w:b/>
          <w:sz w:val="26"/>
          <w:szCs w:val="26"/>
        </w:rPr>
        <w:t>ГО РЫНКА И ВЕДЕНИЯ РЕЕСТРА СУБЪЕКТОВ ОПТОВОГО РЫНКА</w:t>
      </w:r>
      <w:r w:rsidR="003D0344">
        <w:rPr>
          <w:rFonts w:ascii="Garamond" w:hAnsi="Garamond"/>
          <w:b/>
          <w:sz w:val="26"/>
          <w:szCs w:val="26"/>
        </w:rPr>
        <w:t xml:space="preserve"> </w:t>
      </w:r>
      <w:r w:rsidR="003D0344" w:rsidRPr="005128B9">
        <w:rPr>
          <w:rFonts w:ascii="Garamond" w:hAnsi="Garamond" w:cs="Garamond"/>
          <w:b/>
          <w:bCs/>
          <w:sz w:val="26"/>
          <w:szCs w:val="26"/>
        </w:rPr>
        <w:t>(Приложение № 1.1 к Договору о присоединении к торговой системе оптового рынка)</w:t>
      </w:r>
    </w:p>
    <w:p w:rsidR="00796D6C" w:rsidRPr="00145E81" w:rsidRDefault="00796D6C" w:rsidP="00921078">
      <w:pPr>
        <w:widowControl w:val="0"/>
        <w:rPr>
          <w:rFonts w:ascii="Garamond" w:hAnsi="Garamond"/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0"/>
        <w:gridCol w:w="6282"/>
        <w:gridCol w:w="7066"/>
      </w:tblGrid>
      <w:tr w:rsidR="00796D6C" w:rsidRPr="00145E81" w:rsidTr="00CF2A71">
        <w:trPr>
          <w:trHeight w:val="435"/>
        </w:trPr>
        <w:tc>
          <w:tcPr>
            <w:tcW w:w="538" w:type="pct"/>
          </w:tcPr>
          <w:p w:rsidR="00796D6C" w:rsidRPr="00816506" w:rsidRDefault="00796D6C" w:rsidP="00921078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16506">
              <w:rPr>
                <w:rFonts w:ascii="Garamond" w:hAnsi="Garamond"/>
                <w:b/>
                <w:sz w:val="22"/>
                <w:szCs w:val="22"/>
              </w:rPr>
              <w:t>№ пункта</w:t>
            </w:r>
          </w:p>
        </w:tc>
        <w:tc>
          <w:tcPr>
            <w:tcW w:w="2100" w:type="pct"/>
          </w:tcPr>
          <w:p w:rsidR="00796D6C" w:rsidRPr="00816506" w:rsidRDefault="00796D6C" w:rsidP="00921078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16506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796D6C" w:rsidRPr="00816506" w:rsidRDefault="00796D6C" w:rsidP="00921078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16506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2362" w:type="pct"/>
          </w:tcPr>
          <w:p w:rsidR="00796D6C" w:rsidRPr="00816506" w:rsidRDefault="00796D6C" w:rsidP="00921078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16506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796D6C" w:rsidRPr="00816506" w:rsidRDefault="00796D6C" w:rsidP="00921078">
            <w:pPr>
              <w:widowControl w:val="0"/>
              <w:ind w:firstLine="33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16506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636F0F" w:rsidRPr="00145E81" w:rsidTr="00CF2A71">
        <w:trPr>
          <w:trHeight w:val="435"/>
        </w:trPr>
        <w:tc>
          <w:tcPr>
            <w:tcW w:w="538" w:type="pct"/>
          </w:tcPr>
          <w:p w:rsidR="00636F0F" w:rsidRPr="00EF4424" w:rsidRDefault="00636F0F" w:rsidP="00DA2A93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2.5.8</w:t>
            </w:r>
            <w:r w:rsidR="00EF4424" w:rsidRPr="003D0344">
              <w:rPr>
                <w:rFonts w:ascii="Garamond" w:hAnsi="Garamond"/>
                <w:b/>
                <w:sz w:val="22"/>
                <w:szCs w:val="22"/>
              </w:rPr>
              <w:t>.1</w:t>
            </w:r>
          </w:p>
        </w:tc>
        <w:tc>
          <w:tcPr>
            <w:tcW w:w="2100" w:type="pct"/>
          </w:tcPr>
          <w:p w:rsidR="00636F0F" w:rsidRPr="00A26FAE" w:rsidRDefault="00636F0F" w:rsidP="00636F0F">
            <w:pPr>
              <w:tabs>
                <w:tab w:val="left" w:pos="374"/>
              </w:tabs>
              <w:spacing w:after="60"/>
              <w:ind w:left="90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>4. П</w:t>
            </w:r>
            <w:r w:rsidRPr="00A26FAE">
              <w:rPr>
                <w:rFonts w:ascii="Garamond" w:hAnsi="Garamond" w:cs="Arial"/>
                <w:sz w:val="22"/>
                <w:szCs w:val="22"/>
              </w:rPr>
              <w:t>еречни средств измерений для целей коммерческого учета по точкам поставки, входящим во временное  сечение</w:t>
            </w:r>
            <w:r w:rsidRPr="0079255A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, для проведения </w:t>
            </w:r>
            <w:r w:rsidRPr="0079255A">
              <w:rPr>
                <w:rFonts w:ascii="Garamond" w:hAnsi="Garamond"/>
                <w:sz w:val="22"/>
                <w:szCs w:val="22"/>
                <w:highlight w:val="yellow"/>
              </w:rPr>
              <w:t>пуско-наладочных работ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(далее – </w:t>
            </w:r>
            <w:r w:rsidRPr="00A26FAE">
              <w:rPr>
                <w:rFonts w:ascii="Garamond" w:hAnsi="Garamond"/>
                <w:i/>
                <w:sz w:val="22"/>
                <w:szCs w:val="22"/>
              </w:rPr>
              <w:t>Перечень средств измерений по временному сечению</w:t>
            </w:r>
            <w:r w:rsidRPr="00A26FAE">
              <w:rPr>
                <w:rFonts w:ascii="Garamond" w:hAnsi="Garamond"/>
                <w:sz w:val="22"/>
                <w:szCs w:val="22"/>
              </w:rPr>
              <w:t>)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, заверенные подписью уполномоченного представителя и печатью Заявителя, согласованные со смежными субъектами оптового рынка по форме 20, указанной в приложении 1 к настоящему Положению. Количество экземпляров перечней средств измерений должно соответствовать количеству согласующих сторон. Требования к оформлению и предоставлению перечней средств измерений для целей коммерческого учета даны в приложении 3 к настоящему Положению. </w:t>
            </w:r>
          </w:p>
          <w:p w:rsidR="00636F0F" w:rsidRPr="00A26FAE" w:rsidRDefault="00636F0F" w:rsidP="00636F0F">
            <w:pPr>
              <w:tabs>
                <w:tab w:val="left" w:pos="374"/>
              </w:tabs>
              <w:spacing w:after="60"/>
              <w:ind w:left="9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 w:cs="Arial"/>
                <w:sz w:val="22"/>
                <w:szCs w:val="22"/>
              </w:rPr>
              <w:t xml:space="preserve">Коммерческий оператор обязан в срок, не превышающий 10 (десяти) рабочих дней с момента получения  </w:t>
            </w:r>
            <w:r w:rsidRPr="00A26FAE">
              <w:rPr>
                <w:rFonts w:ascii="Garamond" w:hAnsi="Garamond"/>
                <w:sz w:val="22"/>
                <w:szCs w:val="22"/>
              </w:rPr>
              <w:t>Перечня средств измерений по временному сечению,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 провести его экспертизу</w:t>
            </w:r>
            <w:r w:rsidRPr="00A26FAE">
              <w:rPr>
                <w:rFonts w:ascii="Garamond" w:hAnsi="Garamond"/>
                <w:sz w:val="22"/>
                <w:szCs w:val="22"/>
              </w:rPr>
              <w:t>, а именно:</w:t>
            </w:r>
          </w:p>
          <w:p w:rsidR="00636F0F" w:rsidRPr="00A26FAE" w:rsidRDefault="00636F0F" w:rsidP="00636F0F">
            <w:pPr>
              <w:pStyle w:val="af"/>
              <w:numPr>
                <w:ilvl w:val="0"/>
                <w:numId w:val="45"/>
              </w:numPr>
              <w:tabs>
                <w:tab w:val="left" w:pos="374"/>
              </w:tabs>
              <w:autoSpaceDE w:val="0"/>
              <w:autoSpaceDN w:val="0"/>
              <w:spacing w:after="60"/>
              <w:ind w:left="90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>юридическую экспертизу (5 рабочих дней);</w:t>
            </w:r>
          </w:p>
          <w:p w:rsidR="00636F0F" w:rsidRPr="00A26FAE" w:rsidRDefault="00636F0F" w:rsidP="00636F0F">
            <w:pPr>
              <w:pStyle w:val="af"/>
              <w:numPr>
                <w:ilvl w:val="0"/>
                <w:numId w:val="45"/>
              </w:numPr>
              <w:tabs>
                <w:tab w:val="left" w:pos="374"/>
              </w:tabs>
              <w:autoSpaceDE w:val="0"/>
              <w:autoSpaceDN w:val="0"/>
              <w:spacing w:after="60"/>
              <w:ind w:left="90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>техническую экспертизу на соответствие составу ТП, согласованному в соответствии с п. 2.5.1</w:t>
            </w:r>
            <w:r w:rsidRPr="00636F0F">
              <w:rPr>
                <w:rFonts w:ascii="Garamond" w:hAnsi="Garamond"/>
                <w:sz w:val="22"/>
                <w:szCs w:val="22"/>
                <w:highlight w:val="yellow"/>
              </w:rPr>
              <w:t>8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настоящего Положения (5 рабочих дней). </w:t>
            </w:r>
          </w:p>
          <w:p w:rsidR="00636F0F" w:rsidRPr="00A26FAE" w:rsidRDefault="00636F0F" w:rsidP="00636F0F">
            <w:pPr>
              <w:tabs>
                <w:tab w:val="left" w:pos="374"/>
              </w:tabs>
              <w:ind w:left="9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При положительных результатах указанных выше экспертиз 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Перечень средств измерений 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по временному сечению </w:t>
            </w:r>
            <w:r w:rsidRPr="00A26FAE">
              <w:rPr>
                <w:rFonts w:ascii="Garamond" w:hAnsi="Garamond"/>
                <w:sz w:val="22"/>
                <w:szCs w:val="22"/>
              </w:rPr>
              <w:lastRenderedPageBreak/>
              <w:t xml:space="preserve">регистрируется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. Изменение регистрационной информации субъекта оптового рынка в связи с  вводом в действие Перечня средств измерений по временному сечению производится КОс первого числа следующего расчетного месяца в случае, если согласование документа произошло не позднее 17 числа месяца, предшествующего расчетному месяцу. </w:t>
            </w:r>
          </w:p>
          <w:p w:rsidR="00636F0F" w:rsidRPr="00636F0F" w:rsidRDefault="00636F0F" w:rsidP="00636F0F">
            <w:pPr>
              <w:tabs>
                <w:tab w:val="left" w:pos="374"/>
              </w:tabs>
              <w:spacing w:after="60"/>
              <w:ind w:left="90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При этом срок действия такого 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Перечня средств измерений по временному сечению 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не может быть более 6 (шести) месяцев начиная с первого числа месяца, следующего за месяцем, в котором произошло изменение регистрационной информации гарантирующего поставщика в связи с регистрацией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Перечня средств измерений по временному сечению. По истечении указанного срока гарантирующий поставщик обязан внести изменения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в регистрационную информацию по сечению со смежным субъектом оптового рынка путем включения в него точек поставки из Перечня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средств измерений по временному сечению.</w:t>
            </w:r>
          </w:p>
        </w:tc>
        <w:tc>
          <w:tcPr>
            <w:tcW w:w="2362" w:type="pct"/>
          </w:tcPr>
          <w:p w:rsidR="00636F0F" w:rsidRPr="00A26FAE" w:rsidRDefault="00636F0F" w:rsidP="00DA2A93">
            <w:pPr>
              <w:tabs>
                <w:tab w:val="left" w:pos="374"/>
              </w:tabs>
              <w:spacing w:after="60"/>
              <w:ind w:left="90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lastRenderedPageBreak/>
              <w:t>4. П</w:t>
            </w:r>
            <w:r w:rsidRPr="00A26FAE">
              <w:rPr>
                <w:rFonts w:ascii="Garamond" w:hAnsi="Garamond" w:cs="Arial"/>
                <w:sz w:val="22"/>
                <w:szCs w:val="22"/>
              </w:rPr>
              <w:t>еречни средств измерений для целей коммерческого учета по точкам поставки, входящим во временное  сечение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(далее – </w:t>
            </w:r>
            <w:r w:rsidRPr="00A26FAE">
              <w:rPr>
                <w:rFonts w:ascii="Garamond" w:hAnsi="Garamond"/>
                <w:i/>
                <w:sz w:val="22"/>
                <w:szCs w:val="22"/>
              </w:rPr>
              <w:t>Перечень средств измерений по временному сечению</w:t>
            </w:r>
            <w:r w:rsidRPr="00A26FAE">
              <w:rPr>
                <w:rFonts w:ascii="Garamond" w:hAnsi="Garamond"/>
                <w:sz w:val="22"/>
                <w:szCs w:val="22"/>
              </w:rPr>
              <w:t>)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, заверенные подписью уполномоченного представителя и печатью Заявителя, согласованные со смежными субъектами оптового рынка по форме 20, указанной в приложении 1 к настоящему Положению. Количество экземпляров перечней средств измерений должно соответствовать количеству согласующих сторон. Требования к оформлению и предоставлению перечней средств измерений для целей коммерческого учета даны в приложении 3 к настоящему Положению. </w:t>
            </w:r>
          </w:p>
          <w:p w:rsidR="00636F0F" w:rsidRPr="00A26FAE" w:rsidRDefault="00636F0F" w:rsidP="00DA2A93">
            <w:pPr>
              <w:tabs>
                <w:tab w:val="left" w:pos="374"/>
              </w:tabs>
              <w:spacing w:after="60"/>
              <w:ind w:left="9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 w:cs="Arial"/>
                <w:sz w:val="22"/>
                <w:szCs w:val="22"/>
              </w:rPr>
              <w:t xml:space="preserve">Коммерческий оператор обязан в срок, не превышающий 10 (десяти) рабочих дней с момента получения  </w:t>
            </w:r>
            <w:r w:rsidRPr="00A26FAE">
              <w:rPr>
                <w:rFonts w:ascii="Garamond" w:hAnsi="Garamond"/>
                <w:sz w:val="22"/>
                <w:szCs w:val="22"/>
              </w:rPr>
              <w:t>Перечня средств измерений по временному сечению,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 провести его экспертизу</w:t>
            </w:r>
            <w:r w:rsidRPr="00A26FAE">
              <w:rPr>
                <w:rFonts w:ascii="Garamond" w:hAnsi="Garamond"/>
                <w:sz w:val="22"/>
                <w:szCs w:val="22"/>
              </w:rPr>
              <w:t>, а именно:</w:t>
            </w:r>
          </w:p>
          <w:p w:rsidR="00636F0F" w:rsidRPr="00A26FAE" w:rsidRDefault="00636F0F" w:rsidP="00DA2A93">
            <w:pPr>
              <w:pStyle w:val="af"/>
              <w:numPr>
                <w:ilvl w:val="0"/>
                <w:numId w:val="45"/>
              </w:numPr>
              <w:tabs>
                <w:tab w:val="left" w:pos="374"/>
              </w:tabs>
              <w:autoSpaceDE w:val="0"/>
              <w:autoSpaceDN w:val="0"/>
              <w:spacing w:after="60"/>
              <w:ind w:left="90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>юридическую экспертизу (5 рабочих дней);</w:t>
            </w:r>
          </w:p>
          <w:p w:rsidR="00636F0F" w:rsidRPr="00636F0F" w:rsidRDefault="00636F0F" w:rsidP="00DA2A93">
            <w:pPr>
              <w:pStyle w:val="af"/>
              <w:numPr>
                <w:ilvl w:val="0"/>
                <w:numId w:val="45"/>
              </w:numPr>
              <w:tabs>
                <w:tab w:val="left" w:pos="374"/>
              </w:tabs>
              <w:autoSpaceDE w:val="0"/>
              <w:autoSpaceDN w:val="0"/>
              <w:spacing w:after="60"/>
              <w:ind w:left="90"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техническую экспертизу на соответствие составу ТП, согласованному в соответствии с </w:t>
            </w:r>
            <w:r w:rsidR="002F1BA8">
              <w:rPr>
                <w:rFonts w:ascii="Garamond" w:hAnsi="Garamond"/>
                <w:sz w:val="22"/>
                <w:szCs w:val="22"/>
                <w:highlight w:val="yellow"/>
              </w:rPr>
              <w:t>подпунктом</w:t>
            </w:r>
            <w:r w:rsidR="007215C0" w:rsidRPr="007215C0">
              <w:rPr>
                <w:rFonts w:ascii="Garamond" w:hAnsi="Garamond"/>
                <w:sz w:val="22"/>
                <w:szCs w:val="22"/>
                <w:highlight w:val="yellow"/>
              </w:rPr>
              <w:t xml:space="preserve"> 1</w:t>
            </w:r>
            <w:r w:rsidR="002F1BA8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26FAE">
              <w:rPr>
                <w:rFonts w:ascii="Garamond" w:hAnsi="Garamond"/>
                <w:sz w:val="22"/>
                <w:szCs w:val="22"/>
              </w:rPr>
              <w:t>п. 2.5.1</w:t>
            </w:r>
            <w:r w:rsidRPr="00636F0F">
              <w:rPr>
                <w:rFonts w:ascii="Garamond" w:hAnsi="Garamond"/>
                <w:sz w:val="22"/>
                <w:szCs w:val="22"/>
                <w:highlight w:val="yellow"/>
              </w:rPr>
              <w:t>6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настоящего Положения</w:t>
            </w:r>
            <w:r w:rsidR="00B42B25" w:rsidRPr="00B42B25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="002F1BA8" w:rsidRPr="00B42B25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2577C9" w:rsidRPr="00B42B25">
              <w:rPr>
                <w:rFonts w:ascii="Garamond" w:hAnsi="Garamond"/>
                <w:sz w:val="22"/>
                <w:szCs w:val="22"/>
                <w:highlight w:val="yellow"/>
              </w:rPr>
              <w:t>л</w:t>
            </w:r>
            <w:r w:rsidR="002577C9" w:rsidRPr="002F1BA8">
              <w:rPr>
                <w:rFonts w:ascii="Garamond" w:hAnsi="Garamond"/>
                <w:sz w:val="22"/>
                <w:szCs w:val="22"/>
                <w:highlight w:val="yellow"/>
              </w:rPr>
              <w:t>ибо</w:t>
            </w:r>
            <w:r w:rsidR="007215C0" w:rsidRPr="002F1BA8">
              <w:rPr>
                <w:rFonts w:ascii="Garamond" w:hAnsi="Garamond"/>
                <w:sz w:val="22"/>
                <w:szCs w:val="22"/>
                <w:highlight w:val="yellow"/>
              </w:rPr>
              <w:t xml:space="preserve"> на </w:t>
            </w:r>
            <w:r w:rsidR="007215C0" w:rsidRPr="007215C0">
              <w:rPr>
                <w:rFonts w:ascii="Garamond" w:hAnsi="Garamond"/>
                <w:sz w:val="22"/>
                <w:szCs w:val="22"/>
                <w:highlight w:val="yellow"/>
              </w:rPr>
              <w:t>соответствие требованиям к номинальному классу напряжения объектов электросетевого хозяйст</w:t>
            </w:r>
            <w:r w:rsidR="002F1BA8">
              <w:rPr>
                <w:rFonts w:ascii="Garamond" w:hAnsi="Garamond"/>
                <w:sz w:val="22"/>
                <w:szCs w:val="22"/>
                <w:highlight w:val="yellow"/>
              </w:rPr>
              <w:t>ва в случае, предусмотренном подпунктом 2 п. </w:t>
            </w:r>
            <w:r w:rsidR="007215C0" w:rsidRPr="007215C0">
              <w:rPr>
                <w:rFonts w:ascii="Garamond" w:hAnsi="Garamond"/>
                <w:sz w:val="22"/>
                <w:szCs w:val="22"/>
                <w:highlight w:val="yellow"/>
              </w:rPr>
              <w:t>2.5.16 настоящего Положения</w:t>
            </w:r>
            <w:r w:rsidR="002F1BA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7215C0" w:rsidRPr="00A26FAE">
              <w:rPr>
                <w:rFonts w:ascii="Garamond" w:hAnsi="Garamond"/>
                <w:sz w:val="22"/>
                <w:szCs w:val="22"/>
              </w:rPr>
              <w:t>(5 рабочих дней)</w:t>
            </w:r>
            <w:r w:rsidR="007215C0">
              <w:rPr>
                <w:rFonts w:ascii="Garamond" w:hAnsi="Garamond"/>
                <w:sz w:val="22"/>
                <w:szCs w:val="22"/>
              </w:rPr>
              <w:t>.</w:t>
            </w:r>
          </w:p>
          <w:p w:rsidR="00636F0F" w:rsidRPr="00A26FAE" w:rsidRDefault="00636F0F" w:rsidP="00DA2A93">
            <w:pPr>
              <w:tabs>
                <w:tab w:val="left" w:pos="374"/>
              </w:tabs>
              <w:ind w:left="9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При положительных результатах указанных выше экспертиз 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Перечень средств измерений 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по временному сечению регистрируется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. Изменение регистрационной информации субъекта оптового рынка в </w:t>
            </w:r>
            <w:r w:rsidRPr="00A26FAE">
              <w:rPr>
                <w:rFonts w:ascii="Garamond" w:hAnsi="Garamond"/>
                <w:sz w:val="22"/>
                <w:szCs w:val="22"/>
              </w:rPr>
              <w:lastRenderedPageBreak/>
              <w:t xml:space="preserve">связи с  вводом в действие Перечня средств измерений по временному сечению производится КОс первого числа следующего расчетного месяца в случае, если согласование документа произошло не позднее 17 числа месяца, предшествующего расчетному месяцу. </w:t>
            </w:r>
          </w:p>
          <w:p w:rsidR="00636F0F" w:rsidRPr="00636F0F" w:rsidRDefault="00636F0F" w:rsidP="00DA2A93">
            <w:pPr>
              <w:tabs>
                <w:tab w:val="left" w:pos="374"/>
              </w:tabs>
              <w:spacing w:after="60"/>
              <w:ind w:left="90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При этом срок действия такого </w:t>
            </w:r>
            <w:r w:rsidRPr="00A26FAE">
              <w:rPr>
                <w:rFonts w:ascii="Garamond" w:hAnsi="Garamond" w:cs="Arial"/>
                <w:sz w:val="22"/>
                <w:szCs w:val="22"/>
              </w:rPr>
              <w:t xml:space="preserve">Перечня средств измерений по временному сечению 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не может быть более 6 (шести) месяцев начиная с первого числа месяца, следующего за месяцем, в котором произошло изменение регистрационной информации гарантирующего поставщика в связи с регистрацией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Перечня средств измерений по временному сечению. По истечении указанного срока гарантирующий поставщик обязан внести изменения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в регистрационную информацию по сечению со смежным субъектом оптового рынка путем включения в него точек поставки из Перечня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средств измерений по временному сечению.</w:t>
            </w:r>
          </w:p>
        </w:tc>
      </w:tr>
      <w:tr w:rsidR="00636F0F" w:rsidRPr="00145E81" w:rsidTr="00CF2A71">
        <w:trPr>
          <w:trHeight w:val="435"/>
        </w:trPr>
        <w:tc>
          <w:tcPr>
            <w:tcW w:w="538" w:type="pct"/>
            <w:shd w:val="clear" w:color="auto" w:fill="auto"/>
          </w:tcPr>
          <w:p w:rsidR="00636F0F" w:rsidRPr="00816506" w:rsidRDefault="00636F0F" w:rsidP="00921078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2.5.16</w:t>
            </w:r>
          </w:p>
        </w:tc>
        <w:tc>
          <w:tcPr>
            <w:tcW w:w="2100" w:type="pct"/>
            <w:shd w:val="clear" w:color="auto" w:fill="auto"/>
          </w:tcPr>
          <w:p w:rsidR="00636F0F" w:rsidRPr="00A26FAE" w:rsidRDefault="00636F0F" w:rsidP="003F7408">
            <w:pPr>
              <w:spacing w:after="6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Временное сечение коммерческого учета субъекта оптового рынка может быть согласовано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="002F1BA8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B25FD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4B25FD">
              <w:rPr>
                <w:rFonts w:ascii="Garamond" w:hAnsi="Garamond"/>
                <w:sz w:val="22"/>
                <w:szCs w:val="22"/>
              </w:rPr>
              <w:t>ри одновременном наличии следующих обстоятельств:</w:t>
            </w:r>
          </w:p>
          <w:p w:rsidR="00636F0F" w:rsidRPr="00A26FAE" w:rsidRDefault="00636F0F" w:rsidP="003F7408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необходимости проведения пуско-наладочных работ для вновь построенной  (строящейся) электрической станции, а также для иного </w:t>
            </w:r>
            <w:proofErr w:type="spellStart"/>
            <w:r w:rsidRPr="00A26FAE">
              <w:rPr>
                <w:rFonts w:ascii="Garamond" w:hAnsi="Garamond"/>
                <w:sz w:val="22"/>
                <w:szCs w:val="22"/>
              </w:rPr>
              <w:t>энергопринимающего</w:t>
            </w:r>
            <w:proofErr w:type="spellEnd"/>
            <w:r w:rsidRPr="00A26FAE">
              <w:rPr>
                <w:rFonts w:ascii="Garamond" w:hAnsi="Garamond"/>
                <w:sz w:val="22"/>
                <w:szCs w:val="22"/>
              </w:rPr>
              <w:t xml:space="preserve"> оборудования, в отношении которого планируется участие на оптовом рынке;</w:t>
            </w:r>
          </w:p>
          <w:p w:rsidR="00636F0F" w:rsidRPr="00A26FAE" w:rsidRDefault="00636F0F" w:rsidP="003F7408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в соответствии с процедурами настоящего Порядка в отношении вновь построенной (строящейся) электрической станции были согласованы новые ГТП генерации и потребления поставщика либо в отношении </w:t>
            </w:r>
            <w:proofErr w:type="spellStart"/>
            <w:r w:rsidRPr="00A26FAE">
              <w:rPr>
                <w:rFonts w:ascii="Garamond" w:hAnsi="Garamond"/>
                <w:sz w:val="22"/>
                <w:szCs w:val="22"/>
              </w:rPr>
              <w:t>энергопринимающего</w:t>
            </w:r>
            <w:proofErr w:type="spellEnd"/>
            <w:r w:rsidRPr="00A26FAE">
              <w:rPr>
                <w:rFonts w:ascii="Garamond" w:hAnsi="Garamond"/>
                <w:sz w:val="22"/>
                <w:szCs w:val="22"/>
              </w:rPr>
              <w:t xml:space="preserve"> оборудования согласована новая ГТП потребления;</w:t>
            </w:r>
          </w:p>
          <w:p w:rsidR="00636F0F" w:rsidRDefault="00636F0F" w:rsidP="003F7408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субъекту оптового рынка, согласовавшему новые ГТП генерации и потребления поставщика в отношении вновь построенной (строящейся) электрической станции либо субъекту оптового рынка, согласовавшему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новую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ГТП потребления, не предоставлено право участия в торговле электрической энергией и мощностью на оптовом рынке по таким ГТП генерации и потребления поставщика либо такой ГТП потребления</w:t>
            </w:r>
            <w:r w:rsidRPr="00636F0F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636F0F" w:rsidRPr="00EF4424" w:rsidRDefault="00636F0F" w:rsidP="006353A2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  <w:highlight w:val="green"/>
              </w:rPr>
            </w:pPr>
            <w:r w:rsidRPr="00C8583E">
              <w:rPr>
                <w:rFonts w:ascii="Garamond" w:hAnsi="Garamond"/>
                <w:sz w:val="22"/>
                <w:szCs w:val="22"/>
              </w:rPr>
              <w:lastRenderedPageBreak/>
              <w:t>для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корректного учета величин электроэнергии оптового рынка </w:t>
            </w: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возникает необходимость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регистрации дополнительных точек поставки в действующих смежных сечениях коммерческого учета гарантирующего поставщика оптового рынка, в зоне деятельности которого находится строящийся (построенный) объект</w:t>
            </w:r>
            <w:r w:rsidRPr="00707E04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636F0F" w:rsidRPr="00A26FAE" w:rsidRDefault="00636F0F" w:rsidP="003F7408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ля регистрации вновь возникающих на оптовом рынке точек поставки гарантирующий поставщик и смежный с ним субъект оптового рынка  (гарантирующий поставщик и ФСК) должны оформить и представить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Перечень средств измерений </w:t>
            </w:r>
            <w:r w:rsidRPr="0079255A">
              <w:rPr>
                <w:rFonts w:ascii="Garamond" w:hAnsi="Garamond"/>
                <w:sz w:val="22"/>
                <w:szCs w:val="22"/>
                <w:highlight w:val="yellow"/>
              </w:rPr>
              <w:t>для целей коммерческого учета по точкам поставки, входящим во временное  сечение, для проведения пусконаладочных работ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в соответствии с </w:t>
            </w:r>
            <w:proofErr w:type="spellStart"/>
            <w:r w:rsidRPr="00A26FAE">
              <w:rPr>
                <w:rFonts w:ascii="Garamond" w:hAnsi="Garamond"/>
                <w:sz w:val="22"/>
                <w:szCs w:val="22"/>
              </w:rPr>
              <w:t>пп</w:t>
            </w:r>
            <w:proofErr w:type="spellEnd"/>
            <w:r w:rsidRPr="00A26FAE">
              <w:rPr>
                <w:rFonts w:ascii="Garamond" w:hAnsi="Garamond"/>
                <w:sz w:val="22"/>
                <w:szCs w:val="22"/>
              </w:rPr>
              <w:t xml:space="preserve">. 4 п. 2.5.8.1 настоящего </w:t>
            </w:r>
            <w:r w:rsidRPr="0079255A">
              <w:rPr>
                <w:rFonts w:ascii="Garamond" w:hAnsi="Garamond"/>
                <w:sz w:val="22"/>
                <w:szCs w:val="22"/>
                <w:highlight w:val="yellow"/>
              </w:rPr>
              <w:t>Порядка</w:t>
            </w:r>
            <w:r w:rsidRPr="00A26FAE">
              <w:rPr>
                <w:rFonts w:ascii="Garamond" w:hAnsi="Garamond"/>
                <w:sz w:val="22"/>
                <w:szCs w:val="22"/>
              </w:rPr>
              <w:t>.</w:t>
            </w:r>
          </w:p>
          <w:p w:rsidR="00636F0F" w:rsidRPr="00816506" w:rsidRDefault="00636F0F" w:rsidP="003F7408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362" w:type="pct"/>
            <w:shd w:val="clear" w:color="auto" w:fill="auto"/>
          </w:tcPr>
          <w:p w:rsidR="00636F0F" w:rsidRDefault="00636F0F" w:rsidP="00DA2A93">
            <w:pPr>
              <w:spacing w:after="60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lastRenderedPageBreak/>
              <w:t xml:space="preserve">Временное сечение коммерческого учета субъекта оптового рынка может быть согласовано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="002F1BA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165A2" w:rsidRPr="002F1BA8">
              <w:rPr>
                <w:rFonts w:ascii="Garamond" w:hAnsi="Garamond"/>
                <w:sz w:val="22"/>
                <w:szCs w:val="22"/>
                <w:highlight w:val="yellow"/>
              </w:rPr>
              <w:t>в следующих случаях</w:t>
            </w:r>
            <w:r w:rsidR="003165A2">
              <w:rPr>
                <w:rFonts w:ascii="Garamond" w:hAnsi="Garamond"/>
                <w:sz w:val="22"/>
                <w:szCs w:val="22"/>
              </w:rPr>
              <w:t>:</w:t>
            </w:r>
          </w:p>
          <w:p w:rsidR="00636F0F" w:rsidRPr="00A26FAE" w:rsidRDefault="00636F0F" w:rsidP="00DA2A93">
            <w:pPr>
              <w:spacing w:after="60"/>
              <w:jc w:val="both"/>
              <w:rPr>
                <w:rFonts w:ascii="Garamond" w:hAnsi="Garamond"/>
                <w:sz w:val="22"/>
                <w:szCs w:val="22"/>
              </w:rPr>
            </w:pP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1) П</w:t>
            </w:r>
            <w:r w:rsidRPr="004B25FD">
              <w:rPr>
                <w:rFonts w:ascii="Garamond" w:hAnsi="Garamond"/>
                <w:sz w:val="22"/>
                <w:szCs w:val="22"/>
              </w:rPr>
              <w:t>ри одновременном наличии следующих обстоятельств:</w:t>
            </w:r>
          </w:p>
          <w:p w:rsidR="00636F0F" w:rsidRPr="00A26FAE" w:rsidRDefault="00636F0F" w:rsidP="00DA2A93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 xml:space="preserve">необходимости проведения пуско-наладочных работ для вновь построенной (строящейся) электрической станции, а также для иного </w:t>
            </w:r>
            <w:proofErr w:type="spellStart"/>
            <w:r w:rsidRPr="00A26FAE">
              <w:rPr>
                <w:rFonts w:ascii="Garamond" w:hAnsi="Garamond"/>
                <w:sz w:val="22"/>
                <w:szCs w:val="22"/>
              </w:rPr>
              <w:t>энергопринимающего</w:t>
            </w:r>
            <w:proofErr w:type="spellEnd"/>
            <w:r w:rsidRPr="00A26FAE">
              <w:rPr>
                <w:rFonts w:ascii="Garamond" w:hAnsi="Garamond"/>
                <w:sz w:val="22"/>
                <w:szCs w:val="22"/>
              </w:rPr>
              <w:t xml:space="preserve"> оборудования, в отношении которого планируется участие на оптовом рынке;</w:t>
            </w:r>
          </w:p>
          <w:p w:rsidR="00636F0F" w:rsidRPr="00A26FAE" w:rsidRDefault="00636F0F" w:rsidP="00DA2A93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>в соответствии с процедурами настоящего Порядка в отношении вновь построенной (строящейся) электрической станции были согласованы новые ГТП генерации и потребления поставщика</w:t>
            </w:r>
            <w:r w:rsidR="003165A2">
              <w:rPr>
                <w:rFonts w:ascii="Garamond" w:hAnsi="Garamond"/>
                <w:sz w:val="22"/>
                <w:szCs w:val="22"/>
              </w:rPr>
              <w:t>,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либо в отношении </w:t>
            </w:r>
            <w:proofErr w:type="spellStart"/>
            <w:r w:rsidRPr="00A26FAE">
              <w:rPr>
                <w:rFonts w:ascii="Garamond" w:hAnsi="Garamond"/>
                <w:sz w:val="22"/>
                <w:szCs w:val="22"/>
              </w:rPr>
              <w:t>энергопринимающего</w:t>
            </w:r>
            <w:proofErr w:type="spellEnd"/>
            <w:r w:rsidRPr="00A26FAE">
              <w:rPr>
                <w:rFonts w:ascii="Garamond" w:hAnsi="Garamond"/>
                <w:sz w:val="22"/>
                <w:szCs w:val="22"/>
              </w:rPr>
              <w:t xml:space="preserve"> оборудования согласована новая ГТП потребления;</w:t>
            </w:r>
          </w:p>
          <w:p w:rsidR="00636F0F" w:rsidRPr="00A26FAE" w:rsidRDefault="00636F0F" w:rsidP="00DA2A93">
            <w:pPr>
              <w:numPr>
                <w:ilvl w:val="0"/>
                <w:numId w:val="44"/>
              </w:numPr>
              <w:spacing w:after="60"/>
              <w:ind w:left="517" w:hanging="142"/>
              <w:jc w:val="both"/>
              <w:rPr>
                <w:rFonts w:ascii="Garamond" w:hAnsi="Garamond"/>
                <w:sz w:val="22"/>
                <w:szCs w:val="22"/>
              </w:rPr>
            </w:pPr>
            <w:r w:rsidRPr="00A26FAE">
              <w:rPr>
                <w:rFonts w:ascii="Garamond" w:hAnsi="Garamond"/>
                <w:sz w:val="22"/>
                <w:szCs w:val="22"/>
              </w:rPr>
              <w:t>субъекту оптового рынка, согласовавшему новые ГТП генерации и потребления поставщика в отношении вновь построенной (строящейся) электрической станции</w:t>
            </w:r>
            <w:r w:rsidR="003165A2">
              <w:rPr>
                <w:rFonts w:ascii="Garamond" w:hAnsi="Garamond"/>
                <w:sz w:val="22"/>
                <w:szCs w:val="22"/>
              </w:rPr>
              <w:t>,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либо субъекту оптового рынка, согласовавшему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новую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ГТП потребления, не предоставлено право участия в торговле электрической энергией и мощностью на оптовом рынке по таким ГТП генерации и потребления поставщика</w:t>
            </w:r>
            <w:r w:rsidR="003165A2">
              <w:rPr>
                <w:rFonts w:ascii="Garamond" w:hAnsi="Garamond"/>
                <w:sz w:val="22"/>
                <w:szCs w:val="22"/>
              </w:rPr>
              <w:t>,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либо такой ГТП потребления</w:t>
            </w:r>
            <w:r w:rsidRPr="00636F0F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636F0F" w:rsidRDefault="00636F0F" w:rsidP="00234DD9">
            <w:pPr>
              <w:spacing w:after="60"/>
              <w:jc w:val="both"/>
              <w:rPr>
                <w:rFonts w:ascii="Garamond" w:hAnsi="Garamond"/>
                <w:sz w:val="22"/>
                <w:szCs w:val="22"/>
              </w:rPr>
            </w:pP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2) При подключении вновь построенн</w:t>
            </w:r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ого</w:t>
            </w:r>
            <w:proofErr w:type="gramStart"/>
            <w:r w:rsidR="0027511E">
              <w:rPr>
                <w:rFonts w:ascii="Garamond" w:hAnsi="Garamond"/>
                <w:sz w:val="22"/>
                <w:szCs w:val="22"/>
                <w:highlight w:val="yellow"/>
              </w:rPr>
              <w:t> </w:t>
            </w:r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(-</w:t>
            </w:r>
            <w:proofErr w:type="spellStart"/>
            <w:proofErr w:type="gramEnd"/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ых</w:t>
            </w:r>
            <w:proofErr w:type="spellEnd"/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 xml:space="preserve"> объект</w:t>
            </w:r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="0027511E">
              <w:rPr>
                <w:rFonts w:ascii="Garamond" w:hAnsi="Garamond"/>
                <w:sz w:val="22"/>
                <w:szCs w:val="22"/>
                <w:highlight w:val="yellow"/>
              </w:rPr>
              <w:t> </w:t>
            </w:r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(-</w:t>
            </w:r>
            <w:proofErr w:type="spellStart"/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ов</w:t>
            </w:r>
            <w:proofErr w:type="spellEnd"/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электросетевого</w:t>
            </w:r>
            <w:proofErr w:type="spellEnd"/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 xml:space="preserve"> хозяйства</w:t>
            </w:r>
            <w:r w:rsidR="00A97E0A">
              <w:rPr>
                <w:rFonts w:ascii="Garamond" w:hAnsi="Garamond"/>
                <w:sz w:val="22"/>
                <w:szCs w:val="22"/>
                <w:highlight w:val="yellow"/>
              </w:rPr>
              <w:t xml:space="preserve"> с проектным номинальным классом напряжения</w:t>
            </w:r>
            <w:r w:rsidR="00903150">
              <w:rPr>
                <w:rFonts w:ascii="Garamond" w:hAnsi="Garamond"/>
                <w:sz w:val="22"/>
                <w:szCs w:val="22"/>
                <w:highlight w:val="yellow"/>
              </w:rPr>
              <w:t xml:space="preserve"> 330 киловольт и выше</w:t>
            </w: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 xml:space="preserve"> к объектам ЕНЭС, </w:t>
            </w:r>
            <w:r w:rsidR="0079255A" w:rsidRPr="00234DD9">
              <w:rPr>
                <w:rFonts w:ascii="Garamond" w:hAnsi="Garamond"/>
                <w:sz w:val="22"/>
                <w:szCs w:val="22"/>
                <w:highlight w:val="yellow"/>
              </w:rPr>
              <w:t>находящи</w:t>
            </w:r>
            <w:r w:rsidR="0079255A">
              <w:rPr>
                <w:rFonts w:ascii="Garamond" w:hAnsi="Garamond"/>
                <w:sz w:val="22"/>
                <w:szCs w:val="22"/>
                <w:highlight w:val="yellow"/>
              </w:rPr>
              <w:t>м</w:t>
            </w:r>
            <w:r w:rsidR="0079255A" w:rsidRPr="00234DD9">
              <w:rPr>
                <w:rFonts w:ascii="Garamond" w:hAnsi="Garamond"/>
                <w:sz w:val="22"/>
                <w:szCs w:val="22"/>
                <w:highlight w:val="yellow"/>
              </w:rPr>
              <w:t xml:space="preserve">ся </w:t>
            </w:r>
            <w:r w:rsidR="00A97E0A">
              <w:rPr>
                <w:rFonts w:ascii="Garamond" w:hAnsi="Garamond"/>
                <w:sz w:val="22"/>
                <w:szCs w:val="22"/>
                <w:highlight w:val="yellow"/>
              </w:rPr>
              <w:t xml:space="preserve">под </w:t>
            </w:r>
            <w:r w:rsidR="00A97E0A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управлением</w:t>
            </w:r>
            <w:r w:rsidR="00EF189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79255A" w:rsidRPr="00234DD9">
              <w:rPr>
                <w:rFonts w:ascii="Garamond" w:hAnsi="Garamond"/>
                <w:sz w:val="22"/>
                <w:szCs w:val="22"/>
                <w:highlight w:val="yellow"/>
              </w:rPr>
              <w:t>ОАО «ФСК ЕЭС»</w:t>
            </w: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636F0F" w:rsidRPr="00A26FAE" w:rsidRDefault="00636F0F" w:rsidP="00234DD9">
            <w:pPr>
              <w:spacing w:after="60"/>
              <w:ind w:firstLine="454"/>
              <w:jc w:val="both"/>
              <w:rPr>
                <w:rFonts w:ascii="Garamond" w:hAnsi="Garamond"/>
                <w:sz w:val="22"/>
                <w:szCs w:val="22"/>
              </w:rPr>
            </w:pP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Временное сечение коммерческого учета субъекта оптового рынка регистрируется</w:t>
            </w:r>
            <w:r w:rsidR="0027511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для корректного учета величин электроэнергии оптового рынка </w:t>
            </w:r>
            <w:r w:rsidR="003165A2">
              <w:rPr>
                <w:rFonts w:ascii="Garamond" w:hAnsi="Garamond"/>
                <w:sz w:val="22"/>
                <w:szCs w:val="22"/>
                <w:highlight w:val="yellow"/>
              </w:rPr>
              <w:t>путем</w:t>
            </w:r>
            <w:r w:rsidR="0027511E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26FAE">
              <w:rPr>
                <w:rFonts w:ascii="Garamond" w:hAnsi="Garamond"/>
                <w:sz w:val="22"/>
                <w:szCs w:val="22"/>
              </w:rPr>
              <w:t>регистрации дополнительных точек поставки в действующих смежных сечениях коммерческого учета гарантирующего поставщика оптового рынка, в зоне деятельности которого находится строящийся (построенный) объект</w:t>
            </w:r>
            <w:r w:rsidR="00EF4424" w:rsidRPr="00707E04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636F0F" w:rsidRPr="00A26FAE" w:rsidRDefault="00636F0F" w:rsidP="00234DD9">
            <w:pPr>
              <w:spacing w:after="60"/>
              <w:ind w:left="28" w:firstLine="489"/>
              <w:jc w:val="both"/>
              <w:rPr>
                <w:rFonts w:ascii="Garamond" w:hAnsi="Garamond"/>
                <w:sz w:val="22"/>
                <w:szCs w:val="22"/>
              </w:rPr>
            </w:pPr>
            <w:r w:rsidRPr="00234DD9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ля регистрации вновь возникающих на оптовом рынке точек поставки гарантирующий поставщик и смежный с ним субъект оптового рынка (гарантирующий поставщик и ФСК) должны оформить и представить </w:t>
            </w:r>
            <w:proofErr w:type="gramStart"/>
            <w:r w:rsidRPr="00A26FAE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26FAE">
              <w:rPr>
                <w:rFonts w:ascii="Garamond" w:hAnsi="Garamond"/>
                <w:sz w:val="22"/>
                <w:szCs w:val="22"/>
              </w:rPr>
              <w:t xml:space="preserve"> Перечень средств измерений </w:t>
            </w:r>
            <w:r w:rsidR="0079255A" w:rsidRPr="002656D9">
              <w:rPr>
                <w:rFonts w:ascii="Garamond" w:hAnsi="Garamond"/>
                <w:sz w:val="22"/>
                <w:szCs w:val="22"/>
                <w:highlight w:val="yellow"/>
              </w:rPr>
              <w:t>по временному сечению</w:t>
            </w:r>
            <w:r w:rsidRPr="00A26FAE">
              <w:rPr>
                <w:rFonts w:ascii="Garamond" w:hAnsi="Garamond"/>
                <w:sz w:val="22"/>
                <w:szCs w:val="22"/>
              </w:rPr>
              <w:t xml:space="preserve"> в соответствии с </w:t>
            </w:r>
            <w:proofErr w:type="spellStart"/>
            <w:r w:rsidRPr="00A26FAE">
              <w:rPr>
                <w:rFonts w:ascii="Garamond" w:hAnsi="Garamond"/>
                <w:sz w:val="22"/>
                <w:szCs w:val="22"/>
              </w:rPr>
              <w:t>пп</w:t>
            </w:r>
            <w:proofErr w:type="spellEnd"/>
            <w:r w:rsidRPr="00A26FAE">
              <w:rPr>
                <w:rFonts w:ascii="Garamond" w:hAnsi="Garamond"/>
                <w:sz w:val="22"/>
                <w:szCs w:val="22"/>
              </w:rPr>
              <w:t xml:space="preserve">. 4 п. 2.5.8.1 настоящего </w:t>
            </w:r>
            <w:r w:rsidR="0079255A" w:rsidRPr="000A6981">
              <w:rPr>
                <w:rFonts w:ascii="Garamond" w:hAnsi="Garamond"/>
                <w:sz w:val="22"/>
                <w:szCs w:val="22"/>
                <w:highlight w:val="yellow"/>
              </w:rPr>
              <w:t>Положения</w:t>
            </w:r>
            <w:r w:rsidRPr="00A26FAE">
              <w:rPr>
                <w:rFonts w:ascii="Garamond" w:hAnsi="Garamond"/>
                <w:sz w:val="22"/>
                <w:szCs w:val="22"/>
              </w:rPr>
              <w:t>.</w:t>
            </w:r>
          </w:p>
          <w:p w:rsidR="00636F0F" w:rsidRPr="00816506" w:rsidRDefault="00636F0F" w:rsidP="00234DD9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6B1777" w:rsidRDefault="006B1777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CF2A71" w:rsidRDefault="00CF2A71">
      <w:pPr>
        <w:rPr>
          <w:rFonts w:ascii="Garamond" w:hAnsi="Garamond"/>
          <w:b/>
          <w:bCs/>
          <w:iCs/>
          <w:sz w:val="22"/>
          <w:szCs w:val="22"/>
        </w:rPr>
      </w:pPr>
      <w:r>
        <w:rPr>
          <w:rFonts w:ascii="Garamond" w:hAnsi="Garamond"/>
          <w:b/>
          <w:bCs/>
          <w:iCs/>
          <w:sz w:val="22"/>
          <w:szCs w:val="22"/>
        </w:rPr>
        <w:br w:type="page"/>
      </w:r>
    </w:p>
    <w:p w:rsidR="00CF2A71" w:rsidRDefault="00CF2A71" w:rsidP="0079255A">
      <w:pPr>
        <w:spacing w:before="60"/>
        <w:jc w:val="right"/>
        <w:rPr>
          <w:rFonts w:ascii="Garamond" w:hAnsi="Garamond"/>
          <w:b/>
          <w:bCs/>
          <w:iCs/>
          <w:sz w:val="22"/>
          <w:szCs w:val="22"/>
        </w:rPr>
      </w:pPr>
      <w:r>
        <w:rPr>
          <w:rFonts w:ascii="Garamond" w:hAnsi="Garamond"/>
          <w:b/>
          <w:bCs/>
          <w:iCs/>
          <w:sz w:val="22"/>
          <w:szCs w:val="22"/>
        </w:rPr>
        <w:lastRenderedPageBreak/>
        <w:t>Действующая редакция</w:t>
      </w:r>
    </w:p>
    <w:p w:rsidR="0079255A" w:rsidRDefault="0079255A" w:rsidP="0079255A">
      <w:pPr>
        <w:spacing w:before="60"/>
        <w:jc w:val="right"/>
        <w:rPr>
          <w:rFonts w:ascii="Garamond" w:hAnsi="Garamond"/>
          <w:b/>
          <w:bCs/>
          <w:iCs/>
          <w:sz w:val="22"/>
          <w:szCs w:val="22"/>
        </w:rPr>
      </w:pPr>
      <w:r>
        <w:rPr>
          <w:rFonts w:ascii="Garamond" w:hAnsi="Garamond"/>
          <w:b/>
          <w:bCs/>
          <w:iCs/>
          <w:sz w:val="22"/>
          <w:szCs w:val="22"/>
        </w:rPr>
        <w:t>Приложени</w:t>
      </w:r>
      <w:r w:rsidR="00CF2A71">
        <w:rPr>
          <w:rFonts w:ascii="Garamond" w:hAnsi="Garamond"/>
          <w:b/>
          <w:bCs/>
          <w:iCs/>
          <w:sz w:val="22"/>
          <w:szCs w:val="22"/>
        </w:rPr>
        <w:t>е 1</w:t>
      </w:r>
    </w:p>
    <w:p w:rsidR="00CF2A71" w:rsidRDefault="00CF2A71" w:rsidP="0079255A">
      <w:pPr>
        <w:spacing w:before="60"/>
        <w:jc w:val="right"/>
        <w:rPr>
          <w:rFonts w:ascii="Garamond" w:hAnsi="Garamond"/>
          <w:b/>
          <w:bCs/>
          <w:iCs/>
          <w:sz w:val="22"/>
          <w:szCs w:val="22"/>
        </w:rPr>
      </w:pPr>
    </w:p>
    <w:p w:rsidR="0079255A" w:rsidRPr="00A26FAE" w:rsidRDefault="0079255A" w:rsidP="0079255A">
      <w:pPr>
        <w:spacing w:before="60"/>
        <w:jc w:val="center"/>
        <w:rPr>
          <w:rFonts w:ascii="Garamond" w:hAnsi="Garamond"/>
          <w:b/>
          <w:bCs/>
          <w:iCs/>
          <w:sz w:val="22"/>
          <w:szCs w:val="22"/>
        </w:rPr>
      </w:pPr>
      <w:r w:rsidRPr="00A26FAE">
        <w:rPr>
          <w:rFonts w:ascii="Garamond" w:hAnsi="Garamond"/>
          <w:b/>
          <w:bCs/>
          <w:iCs/>
          <w:sz w:val="22"/>
          <w:szCs w:val="22"/>
        </w:rPr>
        <w:t>Форма 20</w:t>
      </w:r>
    </w:p>
    <w:p w:rsidR="0079255A" w:rsidRPr="00A26FAE" w:rsidRDefault="0079255A" w:rsidP="0079255A">
      <w:pPr>
        <w:spacing w:line="160" w:lineRule="exact"/>
        <w:jc w:val="right"/>
        <w:rPr>
          <w:rFonts w:ascii="Garamond" w:hAnsi="Garamond"/>
          <w:bCs/>
          <w:i/>
          <w:iCs/>
          <w:sz w:val="20"/>
          <w:szCs w:val="20"/>
        </w:rPr>
      </w:pPr>
    </w:p>
    <w:p w:rsidR="0079255A" w:rsidRPr="00A26FAE" w:rsidRDefault="0079255A" w:rsidP="0079255A">
      <w:pPr>
        <w:spacing w:line="160" w:lineRule="exact"/>
        <w:jc w:val="right"/>
        <w:rPr>
          <w:rFonts w:ascii="Garamond" w:hAnsi="Garamond"/>
          <w:bCs/>
          <w:i/>
          <w:iCs/>
          <w:sz w:val="20"/>
          <w:szCs w:val="20"/>
        </w:rPr>
      </w:pPr>
    </w:p>
    <w:tbl>
      <w:tblPr>
        <w:tblW w:w="4956" w:type="pct"/>
        <w:jc w:val="center"/>
        <w:tblInd w:w="-1334" w:type="dxa"/>
        <w:tblLayout w:type="fixed"/>
        <w:tblLook w:val="01E0"/>
      </w:tblPr>
      <w:tblGrid>
        <w:gridCol w:w="3988"/>
        <w:gridCol w:w="5438"/>
        <w:gridCol w:w="5400"/>
      </w:tblGrid>
      <w:tr w:rsidR="0079255A" w:rsidRPr="00A26FAE" w:rsidTr="00BE26B3">
        <w:trPr>
          <w:cantSplit/>
          <w:jc w:val="center"/>
        </w:trPr>
        <w:tc>
          <w:tcPr>
            <w:tcW w:w="1345" w:type="pct"/>
          </w:tcPr>
          <w:tbl>
            <w:tblPr>
              <w:tblW w:w="1337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/>
            </w:tblPr>
            <w:tblGrid>
              <w:gridCol w:w="3949"/>
              <w:gridCol w:w="9427"/>
            </w:tblGrid>
            <w:tr w:rsidR="0079255A" w:rsidRPr="00A26FAE" w:rsidTr="00BE26B3">
              <w:tc>
                <w:tcPr>
                  <w:tcW w:w="3949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sz w:val="20"/>
                      <w:szCs w:val="20"/>
                    </w:rPr>
                    <w:t>«Утверждаю»</w:t>
                  </w:r>
                </w:p>
                <w:p w:rsidR="0079255A" w:rsidRPr="00A26FAE" w:rsidRDefault="0079255A" w:rsidP="00BE26B3">
                  <w:pPr>
                    <w:rPr>
                      <w:rFonts w:ascii="Garamond" w:hAnsi="Garamond"/>
                      <w:i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i/>
                      <w:sz w:val="20"/>
                      <w:szCs w:val="20"/>
                    </w:rPr>
                    <w:t>Наименование организации заявителя</w:t>
                  </w:r>
                </w:p>
              </w:tc>
              <w:tc>
                <w:tcPr>
                  <w:tcW w:w="9427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</w:p>
              </w:tc>
            </w:tr>
            <w:tr w:rsidR="0079255A" w:rsidRPr="00A26FAE" w:rsidTr="00BE26B3">
              <w:tc>
                <w:tcPr>
                  <w:tcW w:w="3949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sz w:val="20"/>
                      <w:szCs w:val="20"/>
                    </w:rPr>
                    <w:t>Генеральный директор</w:t>
                  </w:r>
                </w:p>
                <w:p w:rsidR="0079255A" w:rsidRPr="00A26FAE" w:rsidRDefault="0079255A" w:rsidP="00BE26B3">
                  <w:pPr>
                    <w:rPr>
                      <w:rFonts w:ascii="Garamond" w:hAnsi="Garamond"/>
                      <w:i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i/>
                      <w:sz w:val="20"/>
                      <w:szCs w:val="20"/>
                    </w:rPr>
                    <w:t>Ф.И.О., ______, Дата _______</w:t>
                  </w:r>
                </w:p>
              </w:tc>
              <w:tc>
                <w:tcPr>
                  <w:tcW w:w="9427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</w:p>
              </w:tc>
            </w:tr>
          </w:tbl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834" w:type="pct"/>
            <w:vMerge w:val="restart"/>
          </w:tcPr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821" w:type="pct"/>
          </w:tcPr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sz w:val="20"/>
                <w:szCs w:val="20"/>
              </w:rPr>
              <w:t>«Утверждаю»</w:t>
            </w:r>
          </w:p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i/>
                <w:sz w:val="20"/>
                <w:szCs w:val="20"/>
              </w:rPr>
              <w:t xml:space="preserve">Наименование организации – смежного субъекта </w:t>
            </w:r>
          </w:p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sz w:val="20"/>
                <w:szCs w:val="20"/>
              </w:rPr>
              <w:t>Генеральный директор</w:t>
            </w:r>
          </w:p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i/>
                <w:sz w:val="20"/>
                <w:szCs w:val="20"/>
              </w:rPr>
              <w:t>Ф.И.О., ______, Дата _______</w:t>
            </w:r>
          </w:p>
        </w:tc>
      </w:tr>
      <w:tr w:rsidR="0079255A" w:rsidRPr="00A26FAE" w:rsidTr="00BE26B3">
        <w:trPr>
          <w:cantSplit/>
          <w:jc w:val="center"/>
        </w:trPr>
        <w:tc>
          <w:tcPr>
            <w:tcW w:w="1345" w:type="pct"/>
          </w:tcPr>
          <w:p w:rsidR="0079255A" w:rsidRPr="00A26FAE" w:rsidRDefault="0079255A" w:rsidP="00BE26B3">
            <w:pPr>
              <w:rPr>
                <w:rFonts w:ascii="Garamond" w:hAnsi="Garamond"/>
              </w:rPr>
            </w:pPr>
          </w:p>
        </w:tc>
        <w:tc>
          <w:tcPr>
            <w:tcW w:w="1834" w:type="pct"/>
            <w:vMerge/>
          </w:tcPr>
          <w:p w:rsidR="0079255A" w:rsidRPr="00A26FAE" w:rsidRDefault="0079255A" w:rsidP="00BE26B3">
            <w:pPr>
              <w:rPr>
                <w:rFonts w:ascii="Garamond" w:hAnsi="Garamond"/>
              </w:rPr>
            </w:pPr>
          </w:p>
        </w:tc>
        <w:tc>
          <w:tcPr>
            <w:tcW w:w="1821" w:type="pct"/>
          </w:tcPr>
          <w:p w:rsidR="0079255A" w:rsidRPr="00A26FAE" w:rsidRDefault="0079255A" w:rsidP="00BE26B3">
            <w:pPr>
              <w:rPr>
                <w:rFonts w:ascii="Garamond" w:hAnsi="Garamond"/>
              </w:rPr>
            </w:pPr>
          </w:p>
        </w:tc>
      </w:tr>
    </w:tbl>
    <w:p w:rsidR="0079255A" w:rsidRPr="00A26FAE" w:rsidRDefault="0079255A" w:rsidP="0079255A">
      <w:pPr>
        <w:jc w:val="center"/>
        <w:rPr>
          <w:rFonts w:ascii="Garamond" w:hAnsi="Garamond"/>
          <w:b/>
          <w:sz w:val="20"/>
        </w:rPr>
      </w:pPr>
    </w:p>
    <w:p w:rsidR="0079255A" w:rsidRPr="00A26FAE" w:rsidRDefault="0079255A" w:rsidP="0079255A">
      <w:pPr>
        <w:rPr>
          <w:rFonts w:ascii="Garamond" w:hAnsi="Garamond"/>
          <w:b/>
          <w:sz w:val="18"/>
          <w:szCs w:val="18"/>
        </w:rPr>
      </w:pPr>
      <w:r w:rsidRPr="00A26FAE">
        <w:rPr>
          <w:rFonts w:ascii="Garamond" w:hAnsi="Garamond"/>
          <w:b/>
          <w:sz w:val="18"/>
          <w:szCs w:val="18"/>
        </w:rPr>
        <w:t xml:space="preserve">Перечень средств измерений для целей коммерческого учета по точкам поставки, входящим во временное  сечение </w:t>
      </w:r>
      <w:r w:rsidRPr="0079255A">
        <w:rPr>
          <w:rFonts w:ascii="Garamond" w:hAnsi="Garamond"/>
          <w:b/>
          <w:sz w:val="18"/>
          <w:szCs w:val="18"/>
          <w:highlight w:val="yellow"/>
        </w:rPr>
        <w:t>для проведения пусконаладочных работ</w:t>
      </w:r>
      <w:r w:rsidRPr="00A26FAE">
        <w:rPr>
          <w:rFonts w:ascii="Garamond" w:hAnsi="Garamond"/>
          <w:b/>
          <w:sz w:val="18"/>
          <w:szCs w:val="18"/>
        </w:rPr>
        <w:t xml:space="preserve">  «Субъект 1 (наименование объекта нового строительства) </w:t>
      </w:r>
      <w:r w:rsidRPr="00A26FAE">
        <w:rPr>
          <w:rFonts w:ascii="Garamond" w:hAnsi="Garamond"/>
          <w:b/>
          <w:i/>
          <w:sz w:val="20"/>
          <w:szCs w:val="20"/>
        </w:rPr>
        <w:t>–</w:t>
      </w:r>
      <w:r w:rsidRPr="00A26FAE">
        <w:rPr>
          <w:rFonts w:ascii="Garamond" w:hAnsi="Garamond"/>
          <w:b/>
          <w:sz w:val="18"/>
          <w:szCs w:val="18"/>
        </w:rPr>
        <w:t xml:space="preserve"> Субъект 2»</w:t>
      </w:r>
    </w:p>
    <w:p w:rsidR="0079255A" w:rsidRPr="00A26FAE" w:rsidRDefault="0079255A" w:rsidP="0079255A">
      <w:pPr>
        <w:jc w:val="center"/>
        <w:rPr>
          <w:rFonts w:ascii="Garamond" w:hAnsi="Garamond"/>
          <w:b/>
          <w:sz w:val="18"/>
          <w:szCs w:val="18"/>
        </w:rPr>
      </w:pPr>
    </w:p>
    <w:tbl>
      <w:tblPr>
        <w:tblW w:w="156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080"/>
        <w:gridCol w:w="900"/>
        <w:gridCol w:w="900"/>
        <w:gridCol w:w="1080"/>
        <w:gridCol w:w="1260"/>
        <w:gridCol w:w="1260"/>
        <w:gridCol w:w="1620"/>
        <w:gridCol w:w="1260"/>
        <w:gridCol w:w="1314"/>
        <w:gridCol w:w="1272"/>
        <w:gridCol w:w="1194"/>
        <w:gridCol w:w="942"/>
        <w:gridCol w:w="942"/>
      </w:tblGrid>
      <w:tr w:rsidR="0079255A" w:rsidRPr="00A26FAE" w:rsidTr="00BE26B3">
        <w:trPr>
          <w:cantSplit/>
        </w:trPr>
        <w:tc>
          <w:tcPr>
            <w:tcW w:w="64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sz w:val="18"/>
                <w:szCs w:val="18"/>
              </w:rPr>
              <w:t xml:space="preserve">№ </w:t>
            </w:r>
            <w:proofErr w:type="gramStart"/>
            <w:r w:rsidRPr="00A26FAE">
              <w:rPr>
                <w:rFonts w:ascii="Garamond" w:hAnsi="Garamond"/>
                <w:sz w:val="18"/>
                <w:szCs w:val="18"/>
              </w:rPr>
              <w:t>п</w:t>
            </w:r>
            <w:proofErr w:type="gramEnd"/>
            <w:r w:rsidRPr="00A26FAE">
              <w:rPr>
                <w:rFonts w:ascii="Garamond" w:hAnsi="Garamond"/>
                <w:sz w:val="18"/>
                <w:szCs w:val="18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присоедин</w:t>
            </w:r>
            <w:proofErr w:type="spellEnd"/>
          </w:p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ени</w:t>
            </w:r>
            <w:proofErr w:type="gram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я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(</w:t>
            </w:r>
            <w:proofErr w:type="gram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элементы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электро-оборудования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, входящие в расчет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сальдо-перетоков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proofErr w:type="gram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Начало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(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название</w:t>
            </w:r>
            <w:proofErr w:type="gramEnd"/>
          </w:p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граничногоэлемента)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proofErr w:type="gram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Конец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(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название</w:t>
            </w:r>
            <w:proofErr w:type="gramEnd"/>
          </w:p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граничногоэлемента)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Точка поставки (место расположения точки поставки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, номер точки поставки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140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sz w:val="18"/>
                <w:szCs w:val="18"/>
              </w:rPr>
              <w:t>Точки приема-передачиэлектроэнергии (мощности) Субъект 1</w:t>
            </w:r>
          </w:p>
        </w:tc>
        <w:tc>
          <w:tcPr>
            <w:tcW w:w="3846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Точки приема-передачиэлектроэнергии (мощности)  Субъект 2</w:t>
            </w:r>
          </w:p>
        </w:tc>
        <w:tc>
          <w:tcPr>
            <w:tcW w:w="1194" w:type="dxa"/>
            <w:vMerge w:val="restart"/>
            <w:tcBorders>
              <w:top w:val="double" w:sz="4" w:space="0" w:color="auto"/>
              <w:left w:val="thinThickSmallGap" w:sz="2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pStyle w:val="xl23"/>
              <w:spacing w:before="0" w:beforeAutospacing="0" w:after="0" w:afterAutospacing="0"/>
              <w:textAlignment w:val="auto"/>
              <w:rPr>
                <w:rFonts w:ascii="Garamond" w:eastAsia="Times New Roman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eastAsia="Times New Roman" w:hAnsi="Garamond"/>
                <w:b/>
                <w:bCs/>
                <w:sz w:val="18"/>
                <w:szCs w:val="18"/>
              </w:rPr>
              <w:t>Метод определения</w:t>
            </w:r>
          </w:p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величины энергии с учетом вычисляемых добавок к показаниям счетчиков, если показания счетчиков корректируются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Сторона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вычисл</w:t>
            </w:r>
            <w:proofErr w:type="spellEnd"/>
          </w:p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яющая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 добавки и предоставляющая отчетность по данному сечению поставки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Примечания</w:t>
            </w:r>
          </w:p>
        </w:tc>
      </w:tr>
      <w:tr w:rsidR="0079255A" w:rsidRPr="00A26FAE" w:rsidTr="00BE26B3">
        <w:trPr>
          <w:cantSplit/>
        </w:trPr>
        <w:tc>
          <w:tcPr>
            <w:tcW w:w="64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right="-108"/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Местоустановкиосновного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right="-108"/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Местоустановкирезервного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eastAsia="Arial Unicode MS" w:hAnsi="Garamond"/>
                <w:b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Способ, по которому формируется ежедневный профиль нагрузки  (при отсутствии интервального счетчика)</w:t>
            </w:r>
          </w:p>
          <w:p w:rsidR="0079255A" w:rsidRPr="00A26FAE" w:rsidRDefault="0079255A" w:rsidP="00BE26B3">
            <w:pPr>
              <w:jc w:val="center"/>
              <w:rPr>
                <w:rFonts w:ascii="Garamond" w:eastAsia="Arial Unicode MS" w:hAnsi="Garamond"/>
                <w:b/>
                <w:sz w:val="18"/>
                <w:szCs w:val="18"/>
              </w:rPr>
            </w:pP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right="-108"/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Местоустановкиосновного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Местоустановкирезервного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Способ, по которому формируется ежедневный профиль нагрузки  (при отсутствии интервального счетчика)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79255A" w:rsidRPr="00A26FAE" w:rsidTr="00BE26B3"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94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left="54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left="72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9255A" w:rsidRPr="00A26FAE" w:rsidRDefault="0079255A" w:rsidP="00BE26B3">
            <w:pPr>
              <w:ind w:left="3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14</w:t>
            </w:r>
          </w:p>
        </w:tc>
      </w:tr>
    </w:tbl>
    <w:p w:rsidR="0079255A" w:rsidRPr="00A26FAE" w:rsidRDefault="0079255A" w:rsidP="0079255A">
      <w:pPr>
        <w:rPr>
          <w:rFonts w:ascii="Garamond" w:hAnsi="Garamond"/>
          <w:sz w:val="18"/>
          <w:szCs w:val="18"/>
        </w:rPr>
      </w:pPr>
    </w:p>
    <w:p w:rsidR="0079255A" w:rsidRPr="00A26FAE" w:rsidRDefault="0079255A" w:rsidP="0079255A">
      <w:pPr>
        <w:spacing w:before="60"/>
        <w:outlineLvl w:val="0"/>
        <w:rPr>
          <w:rFonts w:ascii="Garamond" w:hAnsi="Garamond"/>
          <w:sz w:val="18"/>
          <w:szCs w:val="18"/>
        </w:rPr>
      </w:pPr>
      <w:r w:rsidRPr="00A26FAE">
        <w:rPr>
          <w:rFonts w:ascii="Garamond" w:hAnsi="Garamond"/>
          <w:sz w:val="18"/>
          <w:szCs w:val="18"/>
        </w:rPr>
        <w:t>ОАО  «АТС»  ______________</w:t>
      </w:r>
    </w:p>
    <w:p w:rsidR="0079255A" w:rsidRPr="00A26FAE" w:rsidRDefault="0079255A" w:rsidP="0079255A">
      <w:pPr>
        <w:spacing w:before="60"/>
        <w:outlineLvl w:val="0"/>
        <w:rPr>
          <w:rFonts w:ascii="Garamond" w:hAnsi="Garamond"/>
          <w:sz w:val="18"/>
          <w:szCs w:val="18"/>
        </w:rPr>
      </w:pPr>
    </w:p>
    <w:p w:rsidR="0079255A" w:rsidRPr="00A26FAE" w:rsidRDefault="0079255A" w:rsidP="0079255A">
      <w:pPr>
        <w:spacing w:before="60"/>
        <w:rPr>
          <w:rFonts w:ascii="Garamond" w:hAnsi="Garamond"/>
          <w:sz w:val="16"/>
          <w:szCs w:val="16"/>
        </w:rPr>
      </w:pPr>
      <w:r w:rsidRPr="00A26FAE">
        <w:rPr>
          <w:rFonts w:ascii="Garamond" w:hAnsi="Garamond"/>
          <w:sz w:val="16"/>
          <w:szCs w:val="16"/>
        </w:rPr>
        <w:t xml:space="preserve">* Признак «включения в АИИС» может указываться при отсутствии выданного </w:t>
      </w:r>
      <w:proofErr w:type="gramStart"/>
      <w:r w:rsidRPr="00A26FAE">
        <w:rPr>
          <w:rFonts w:ascii="Garamond" w:hAnsi="Garamond"/>
          <w:sz w:val="16"/>
          <w:szCs w:val="16"/>
        </w:rPr>
        <w:t>КО</w:t>
      </w:r>
      <w:proofErr w:type="gramEnd"/>
      <w:r w:rsidRPr="00A26FAE">
        <w:rPr>
          <w:rFonts w:ascii="Garamond" w:hAnsi="Garamond"/>
          <w:sz w:val="16"/>
          <w:szCs w:val="16"/>
        </w:rPr>
        <w:t xml:space="preserve"> Акта о соответствии системы коммерческого учета техническим требованиям оптового рынка электрической энергии (мощности) (далее – Акт о соответствии). Информация о включении приборов учета в АИИС не проверяется </w:t>
      </w:r>
      <w:proofErr w:type="gramStart"/>
      <w:r w:rsidRPr="00A26FAE">
        <w:rPr>
          <w:rFonts w:ascii="Garamond" w:hAnsi="Garamond"/>
          <w:sz w:val="16"/>
          <w:szCs w:val="16"/>
        </w:rPr>
        <w:t>КО</w:t>
      </w:r>
      <w:proofErr w:type="gramEnd"/>
      <w:r w:rsidRPr="00A26FAE">
        <w:rPr>
          <w:rFonts w:ascii="Garamond" w:hAnsi="Garamond"/>
          <w:sz w:val="16"/>
          <w:szCs w:val="16"/>
        </w:rPr>
        <w:t xml:space="preserve"> на этапе получения Заявителем статуса субъекта оптового рынка (согласования дополнительной группы точек поставки). </w:t>
      </w:r>
    </w:p>
    <w:p w:rsidR="0079255A" w:rsidRPr="00A26FAE" w:rsidRDefault="0079255A" w:rsidP="0079255A">
      <w:pPr>
        <w:spacing w:before="60"/>
        <w:rPr>
          <w:rFonts w:ascii="Garamond" w:hAnsi="Garamond"/>
          <w:sz w:val="16"/>
          <w:szCs w:val="16"/>
        </w:rPr>
      </w:pPr>
    </w:p>
    <w:p w:rsidR="0079255A" w:rsidRPr="00A26FAE" w:rsidRDefault="0079255A" w:rsidP="0079255A">
      <w:pPr>
        <w:spacing w:before="60"/>
        <w:rPr>
          <w:rFonts w:ascii="Garamond" w:hAnsi="Garamond"/>
          <w:sz w:val="16"/>
          <w:szCs w:val="16"/>
        </w:rPr>
      </w:pPr>
    </w:p>
    <w:p w:rsidR="0079255A" w:rsidRPr="00A26FAE" w:rsidRDefault="0079255A" w:rsidP="0079255A">
      <w:pPr>
        <w:spacing w:before="60"/>
        <w:rPr>
          <w:rFonts w:ascii="Garamond" w:hAnsi="Garamond"/>
          <w:sz w:val="18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p w:rsidR="00CF2A71" w:rsidRDefault="00CF2A71" w:rsidP="0079255A">
      <w:pPr>
        <w:spacing w:before="60"/>
        <w:jc w:val="right"/>
        <w:rPr>
          <w:rFonts w:ascii="Garamond" w:hAnsi="Garamond"/>
          <w:b/>
          <w:bCs/>
          <w:iCs/>
          <w:sz w:val="22"/>
          <w:szCs w:val="22"/>
        </w:rPr>
      </w:pPr>
      <w:r>
        <w:rPr>
          <w:rFonts w:ascii="Garamond" w:hAnsi="Garamond"/>
          <w:b/>
          <w:bCs/>
          <w:iCs/>
          <w:sz w:val="22"/>
          <w:szCs w:val="22"/>
        </w:rPr>
        <w:lastRenderedPageBreak/>
        <w:t>Предлагаемая редакция</w:t>
      </w:r>
    </w:p>
    <w:p w:rsidR="0079255A" w:rsidRDefault="0079255A" w:rsidP="0079255A">
      <w:pPr>
        <w:spacing w:before="60"/>
        <w:jc w:val="right"/>
        <w:rPr>
          <w:rFonts w:ascii="Garamond" w:hAnsi="Garamond"/>
          <w:b/>
          <w:bCs/>
          <w:iCs/>
          <w:sz w:val="22"/>
          <w:szCs w:val="22"/>
        </w:rPr>
      </w:pPr>
      <w:r>
        <w:rPr>
          <w:rFonts w:ascii="Garamond" w:hAnsi="Garamond"/>
          <w:b/>
          <w:bCs/>
          <w:iCs/>
          <w:sz w:val="22"/>
          <w:szCs w:val="22"/>
        </w:rPr>
        <w:t>Приложения 1</w:t>
      </w:r>
    </w:p>
    <w:p w:rsidR="0079255A" w:rsidRPr="00A26FAE" w:rsidRDefault="0079255A" w:rsidP="0079255A">
      <w:pPr>
        <w:spacing w:before="60"/>
        <w:jc w:val="center"/>
        <w:rPr>
          <w:rFonts w:ascii="Garamond" w:hAnsi="Garamond"/>
          <w:b/>
          <w:bCs/>
          <w:iCs/>
          <w:sz w:val="22"/>
          <w:szCs w:val="22"/>
        </w:rPr>
      </w:pPr>
      <w:r w:rsidRPr="00A26FAE">
        <w:rPr>
          <w:rFonts w:ascii="Garamond" w:hAnsi="Garamond"/>
          <w:b/>
          <w:bCs/>
          <w:iCs/>
          <w:sz w:val="22"/>
          <w:szCs w:val="22"/>
        </w:rPr>
        <w:t>Форма 20</w:t>
      </w:r>
    </w:p>
    <w:p w:rsidR="0079255A" w:rsidRPr="00A26FAE" w:rsidRDefault="0079255A" w:rsidP="0079255A">
      <w:pPr>
        <w:spacing w:line="160" w:lineRule="exact"/>
        <w:jc w:val="right"/>
        <w:rPr>
          <w:rFonts w:ascii="Garamond" w:hAnsi="Garamond"/>
          <w:bCs/>
          <w:i/>
          <w:iCs/>
          <w:sz w:val="20"/>
          <w:szCs w:val="20"/>
        </w:rPr>
      </w:pPr>
    </w:p>
    <w:p w:rsidR="0079255A" w:rsidRPr="00A26FAE" w:rsidRDefault="0079255A" w:rsidP="0079255A">
      <w:pPr>
        <w:spacing w:line="160" w:lineRule="exact"/>
        <w:jc w:val="right"/>
        <w:rPr>
          <w:rFonts w:ascii="Garamond" w:hAnsi="Garamond"/>
          <w:bCs/>
          <w:i/>
          <w:iCs/>
          <w:sz w:val="20"/>
          <w:szCs w:val="20"/>
        </w:rPr>
      </w:pPr>
    </w:p>
    <w:tbl>
      <w:tblPr>
        <w:tblW w:w="4956" w:type="pct"/>
        <w:jc w:val="center"/>
        <w:tblInd w:w="-1334" w:type="dxa"/>
        <w:tblLayout w:type="fixed"/>
        <w:tblLook w:val="01E0"/>
      </w:tblPr>
      <w:tblGrid>
        <w:gridCol w:w="3988"/>
        <w:gridCol w:w="5438"/>
        <w:gridCol w:w="5400"/>
      </w:tblGrid>
      <w:tr w:rsidR="0079255A" w:rsidRPr="00A26FAE" w:rsidTr="00BE26B3">
        <w:trPr>
          <w:cantSplit/>
          <w:jc w:val="center"/>
        </w:trPr>
        <w:tc>
          <w:tcPr>
            <w:tcW w:w="1345" w:type="pct"/>
          </w:tcPr>
          <w:tbl>
            <w:tblPr>
              <w:tblW w:w="1337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/>
            </w:tblPr>
            <w:tblGrid>
              <w:gridCol w:w="3949"/>
              <w:gridCol w:w="9427"/>
            </w:tblGrid>
            <w:tr w:rsidR="0079255A" w:rsidRPr="00A26FAE" w:rsidTr="00BE26B3">
              <w:tc>
                <w:tcPr>
                  <w:tcW w:w="3949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sz w:val="20"/>
                      <w:szCs w:val="20"/>
                    </w:rPr>
                    <w:t>«Утверждаю»</w:t>
                  </w:r>
                </w:p>
                <w:p w:rsidR="0079255A" w:rsidRPr="00A26FAE" w:rsidRDefault="0079255A" w:rsidP="00BE26B3">
                  <w:pPr>
                    <w:rPr>
                      <w:rFonts w:ascii="Garamond" w:hAnsi="Garamond"/>
                      <w:i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i/>
                      <w:sz w:val="20"/>
                      <w:szCs w:val="20"/>
                    </w:rPr>
                    <w:t>Наименование организации заявителя</w:t>
                  </w:r>
                </w:p>
              </w:tc>
              <w:tc>
                <w:tcPr>
                  <w:tcW w:w="9427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</w:p>
              </w:tc>
            </w:tr>
            <w:tr w:rsidR="0079255A" w:rsidRPr="00A26FAE" w:rsidTr="00BE26B3">
              <w:tc>
                <w:tcPr>
                  <w:tcW w:w="3949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sz w:val="20"/>
                      <w:szCs w:val="20"/>
                    </w:rPr>
                    <w:t>Генеральный директор</w:t>
                  </w:r>
                </w:p>
                <w:p w:rsidR="0079255A" w:rsidRPr="00A26FAE" w:rsidRDefault="0079255A" w:rsidP="00BE26B3">
                  <w:pPr>
                    <w:rPr>
                      <w:rFonts w:ascii="Garamond" w:hAnsi="Garamond"/>
                      <w:i/>
                      <w:sz w:val="20"/>
                      <w:szCs w:val="20"/>
                    </w:rPr>
                  </w:pPr>
                  <w:r w:rsidRPr="00A26FAE">
                    <w:rPr>
                      <w:rFonts w:ascii="Garamond" w:hAnsi="Garamond"/>
                      <w:i/>
                      <w:sz w:val="20"/>
                      <w:szCs w:val="20"/>
                    </w:rPr>
                    <w:t>Ф.И.О., ______, Дата _______</w:t>
                  </w:r>
                </w:p>
              </w:tc>
              <w:tc>
                <w:tcPr>
                  <w:tcW w:w="9427" w:type="dxa"/>
                </w:tcPr>
                <w:p w:rsidR="0079255A" w:rsidRPr="00A26FAE" w:rsidRDefault="0079255A" w:rsidP="00BE26B3">
                  <w:pPr>
                    <w:rPr>
                      <w:rFonts w:ascii="Garamond" w:hAnsi="Garamond"/>
                      <w:sz w:val="20"/>
                      <w:szCs w:val="20"/>
                    </w:rPr>
                  </w:pPr>
                </w:p>
              </w:tc>
            </w:tr>
          </w:tbl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834" w:type="pct"/>
            <w:vMerge w:val="restart"/>
          </w:tcPr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821" w:type="pct"/>
          </w:tcPr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sz w:val="20"/>
                <w:szCs w:val="20"/>
              </w:rPr>
              <w:t>«Утверждаю»</w:t>
            </w:r>
          </w:p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i/>
                <w:sz w:val="20"/>
                <w:szCs w:val="20"/>
              </w:rPr>
              <w:t xml:space="preserve">Наименование организации – смежного субъекта </w:t>
            </w:r>
          </w:p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sz w:val="20"/>
                <w:szCs w:val="20"/>
              </w:rPr>
              <w:t>Генеральный директор</w:t>
            </w:r>
          </w:p>
          <w:p w:rsidR="0079255A" w:rsidRPr="00A26FAE" w:rsidRDefault="0079255A" w:rsidP="00BE26B3">
            <w:pPr>
              <w:rPr>
                <w:rFonts w:ascii="Garamond" w:hAnsi="Garamond"/>
                <w:sz w:val="20"/>
                <w:szCs w:val="20"/>
              </w:rPr>
            </w:pPr>
            <w:r w:rsidRPr="00A26FAE">
              <w:rPr>
                <w:rFonts w:ascii="Garamond" w:hAnsi="Garamond"/>
                <w:i/>
                <w:sz w:val="20"/>
                <w:szCs w:val="20"/>
              </w:rPr>
              <w:t>Ф.И.О., ______, Дата _______</w:t>
            </w:r>
          </w:p>
        </w:tc>
      </w:tr>
      <w:tr w:rsidR="0079255A" w:rsidRPr="00A26FAE" w:rsidTr="00BE26B3">
        <w:trPr>
          <w:cantSplit/>
          <w:jc w:val="center"/>
        </w:trPr>
        <w:tc>
          <w:tcPr>
            <w:tcW w:w="1345" w:type="pct"/>
          </w:tcPr>
          <w:p w:rsidR="0079255A" w:rsidRPr="00A26FAE" w:rsidRDefault="0079255A" w:rsidP="00BE26B3">
            <w:pPr>
              <w:rPr>
                <w:rFonts w:ascii="Garamond" w:hAnsi="Garamond"/>
              </w:rPr>
            </w:pPr>
          </w:p>
        </w:tc>
        <w:tc>
          <w:tcPr>
            <w:tcW w:w="1834" w:type="pct"/>
            <w:vMerge/>
          </w:tcPr>
          <w:p w:rsidR="0079255A" w:rsidRPr="00A26FAE" w:rsidRDefault="0079255A" w:rsidP="00BE26B3">
            <w:pPr>
              <w:rPr>
                <w:rFonts w:ascii="Garamond" w:hAnsi="Garamond"/>
              </w:rPr>
            </w:pPr>
          </w:p>
        </w:tc>
        <w:tc>
          <w:tcPr>
            <w:tcW w:w="1821" w:type="pct"/>
          </w:tcPr>
          <w:p w:rsidR="0079255A" w:rsidRPr="00A26FAE" w:rsidRDefault="0079255A" w:rsidP="00BE26B3">
            <w:pPr>
              <w:rPr>
                <w:rFonts w:ascii="Garamond" w:hAnsi="Garamond"/>
              </w:rPr>
            </w:pPr>
          </w:p>
        </w:tc>
      </w:tr>
    </w:tbl>
    <w:p w:rsidR="0079255A" w:rsidRPr="00A26FAE" w:rsidRDefault="0079255A" w:rsidP="0079255A">
      <w:pPr>
        <w:jc w:val="center"/>
        <w:rPr>
          <w:rFonts w:ascii="Garamond" w:hAnsi="Garamond"/>
          <w:b/>
          <w:sz w:val="20"/>
        </w:rPr>
      </w:pPr>
    </w:p>
    <w:p w:rsidR="0079255A" w:rsidRPr="00A26FAE" w:rsidRDefault="0079255A" w:rsidP="0079255A">
      <w:pPr>
        <w:rPr>
          <w:rFonts w:ascii="Garamond" w:hAnsi="Garamond"/>
          <w:b/>
          <w:sz w:val="18"/>
          <w:szCs w:val="18"/>
        </w:rPr>
      </w:pPr>
      <w:r w:rsidRPr="00A26FAE">
        <w:rPr>
          <w:rFonts w:ascii="Garamond" w:hAnsi="Garamond"/>
          <w:b/>
          <w:sz w:val="18"/>
          <w:szCs w:val="18"/>
        </w:rPr>
        <w:t xml:space="preserve">Перечень средств измерений для целей коммерческого учета по точкам поставки, входящим во временное  сечение «Субъект 1 (наименование объекта нового строительства) </w:t>
      </w:r>
      <w:r w:rsidRPr="00A26FAE">
        <w:rPr>
          <w:rFonts w:ascii="Garamond" w:hAnsi="Garamond"/>
          <w:b/>
          <w:i/>
          <w:sz w:val="20"/>
          <w:szCs w:val="20"/>
        </w:rPr>
        <w:t>–</w:t>
      </w:r>
      <w:r w:rsidRPr="00A26FAE">
        <w:rPr>
          <w:rFonts w:ascii="Garamond" w:hAnsi="Garamond"/>
          <w:b/>
          <w:sz w:val="18"/>
          <w:szCs w:val="18"/>
        </w:rPr>
        <w:t xml:space="preserve"> Субъект 2»</w:t>
      </w:r>
    </w:p>
    <w:p w:rsidR="0079255A" w:rsidRPr="00A26FAE" w:rsidRDefault="0079255A" w:rsidP="0079255A">
      <w:pPr>
        <w:jc w:val="center"/>
        <w:rPr>
          <w:rFonts w:ascii="Garamond" w:hAnsi="Garamond"/>
          <w:b/>
          <w:sz w:val="18"/>
          <w:szCs w:val="18"/>
        </w:rPr>
      </w:pPr>
    </w:p>
    <w:tbl>
      <w:tblPr>
        <w:tblW w:w="156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080"/>
        <w:gridCol w:w="900"/>
        <w:gridCol w:w="900"/>
        <w:gridCol w:w="1080"/>
        <w:gridCol w:w="1260"/>
        <w:gridCol w:w="1260"/>
        <w:gridCol w:w="1620"/>
        <w:gridCol w:w="1260"/>
        <w:gridCol w:w="1314"/>
        <w:gridCol w:w="1272"/>
        <w:gridCol w:w="1194"/>
        <w:gridCol w:w="942"/>
        <w:gridCol w:w="942"/>
      </w:tblGrid>
      <w:tr w:rsidR="0079255A" w:rsidRPr="00A26FAE" w:rsidTr="00BE26B3">
        <w:trPr>
          <w:cantSplit/>
        </w:trPr>
        <w:tc>
          <w:tcPr>
            <w:tcW w:w="64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sz w:val="18"/>
                <w:szCs w:val="18"/>
              </w:rPr>
              <w:t xml:space="preserve">№ </w:t>
            </w:r>
            <w:proofErr w:type="gramStart"/>
            <w:r w:rsidRPr="00A26FAE">
              <w:rPr>
                <w:rFonts w:ascii="Garamond" w:hAnsi="Garamond"/>
                <w:sz w:val="18"/>
                <w:szCs w:val="18"/>
              </w:rPr>
              <w:t>п</w:t>
            </w:r>
            <w:proofErr w:type="gramEnd"/>
            <w:r w:rsidRPr="00A26FAE">
              <w:rPr>
                <w:rFonts w:ascii="Garamond" w:hAnsi="Garamond"/>
                <w:sz w:val="18"/>
                <w:szCs w:val="18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присоедин</w:t>
            </w:r>
            <w:proofErr w:type="spellEnd"/>
          </w:p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ени</w:t>
            </w:r>
            <w:proofErr w:type="gram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я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(</w:t>
            </w:r>
            <w:proofErr w:type="gram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элементы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электро-оборудования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, входящие в расчет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сальдо-перетоков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proofErr w:type="gram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Начало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(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название</w:t>
            </w:r>
            <w:proofErr w:type="gramEnd"/>
          </w:p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граничногоэлемента)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proofErr w:type="gram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Конец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(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название</w:t>
            </w:r>
            <w:proofErr w:type="gramEnd"/>
          </w:p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граничногоэлемента)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Точка поставки (место расположения точки поставки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, номер точки поставки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140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sz w:val="18"/>
                <w:szCs w:val="18"/>
              </w:rPr>
              <w:t>Точки приема-передачиэлектроэнергии (мощности) Субъект 1</w:t>
            </w:r>
          </w:p>
        </w:tc>
        <w:tc>
          <w:tcPr>
            <w:tcW w:w="3846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Точки приема-передачиэлектроэнергии (мощности)  Субъект 2</w:t>
            </w:r>
          </w:p>
        </w:tc>
        <w:tc>
          <w:tcPr>
            <w:tcW w:w="1194" w:type="dxa"/>
            <w:vMerge w:val="restart"/>
            <w:tcBorders>
              <w:top w:val="double" w:sz="4" w:space="0" w:color="auto"/>
              <w:left w:val="thinThickSmallGap" w:sz="2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pStyle w:val="xl23"/>
              <w:spacing w:before="0" w:beforeAutospacing="0" w:after="0" w:afterAutospacing="0"/>
              <w:textAlignment w:val="auto"/>
              <w:rPr>
                <w:rFonts w:ascii="Garamond" w:eastAsia="Times New Roman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eastAsia="Times New Roman" w:hAnsi="Garamond"/>
                <w:b/>
                <w:bCs/>
                <w:sz w:val="18"/>
                <w:szCs w:val="18"/>
              </w:rPr>
              <w:t>Метод определения</w:t>
            </w:r>
          </w:p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величины энергии с учетом вычисляемых добавок к показаниям счетчиков, если показания счетчиков корректируются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Сторона </w:t>
            </w: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вычисл</w:t>
            </w:r>
            <w:proofErr w:type="spellEnd"/>
          </w:p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proofErr w:type="spellStart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яющая</w:t>
            </w:r>
            <w:proofErr w:type="spellEnd"/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 добавки и предоставляющая отчетность по данному сечению поставки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Примечания</w:t>
            </w:r>
          </w:p>
        </w:tc>
      </w:tr>
      <w:tr w:rsidR="0079255A" w:rsidRPr="00A26FAE" w:rsidTr="00BE26B3">
        <w:trPr>
          <w:cantSplit/>
        </w:trPr>
        <w:tc>
          <w:tcPr>
            <w:tcW w:w="64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right="-108"/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Местоустановкиосновного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right="-108"/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Местоустановкирезервного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eastAsia="Arial Unicode MS" w:hAnsi="Garamond"/>
                <w:b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Способ, по которому формируется ежедневный профиль нагрузки  (при отсутствии интервального счетчика)</w:t>
            </w:r>
          </w:p>
          <w:p w:rsidR="0079255A" w:rsidRPr="00A26FAE" w:rsidRDefault="0079255A" w:rsidP="00BE26B3">
            <w:pPr>
              <w:jc w:val="center"/>
              <w:rPr>
                <w:rFonts w:ascii="Garamond" w:eastAsia="Arial Unicode MS" w:hAnsi="Garamond"/>
                <w:b/>
                <w:sz w:val="18"/>
                <w:szCs w:val="18"/>
              </w:rPr>
            </w:pP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right="-108"/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Местоустановкиосновного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Местоустановкирезервного измерительного прибора (счетчика);прием/отдача;</w:t>
            </w:r>
            <w:r w:rsidRPr="00A26FAE">
              <w:rPr>
                <w:rFonts w:ascii="Garamond" w:eastAsia="Arial Unicode MS" w:hAnsi="Garamond"/>
                <w:b/>
                <w:bCs/>
                <w:sz w:val="18"/>
                <w:szCs w:val="18"/>
              </w:rPr>
              <w:t xml:space="preserve"> тип, </w:t>
            </w: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 xml:space="preserve">класс точности; признак включения в АИИС *; </w:t>
            </w:r>
            <w:r w:rsidRPr="00A26FAE">
              <w:rPr>
                <w:rFonts w:ascii="Garamond" w:hAnsi="Garamond" w:cs="Courier New"/>
                <w:b/>
                <w:bCs/>
                <w:sz w:val="18"/>
                <w:szCs w:val="18"/>
              </w:rPr>
              <w:t>номер точки измерения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rPr>
                <w:rFonts w:ascii="Garamond" w:eastAsia="Arial Unicode MS" w:hAnsi="Garamond"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Способ, по которому формируется ежедневный профиль нагрузки  (при отсутствии интервального счетчика)</w:t>
            </w:r>
          </w:p>
          <w:p w:rsidR="0079255A" w:rsidRPr="00A26FAE" w:rsidRDefault="0079255A" w:rsidP="00BE26B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9255A" w:rsidRPr="00A26FAE" w:rsidRDefault="0079255A" w:rsidP="00BE26B3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79255A" w:rsidRPr="00A26FAE" w:rsidTr="00BE26B3"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9255A" w:rsidRPr="00A26FAE" w:rsidRDefault="0079255A" w:rsidP="00BE26B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94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left="54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9255A" w:rsidRPr="00A26FAE" w:rsidRDefault="0079255A" w:rsidP="00BE26B3">
            <w:pPr>
              <w:ind w:left="72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9255A" w:rsidRPr="00A26FAE" w:rsidRDefault="0079255A" w:rsidP="00BE26B3">
            <w:pPr>
              <w:ind w:left="3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26FAE">
              <w:rPr>
                <w:rFonts w:ascii="Garamond" w:hAnsi="Garamond"/>
                <w:b/>
                <w:bCs/>
                <w:sz w:val="18"/>
                <w:szCs w:val="18"/>
              </w:rPr>
              <w:t>14</w:t>
            </w:r>
          </w:p>
        </w:tc>
      </w:tr>
    </w:tbl>
    <w:p w:rsidR="0079255A" w:rsidRPr="00A26FAE" w:rsidRDefault="0079255A" w:rsidP="0079255A">
      <w:pPr>
        <w:rPr>
          <w:rFonts w:ascii="Garamond" w:hAnsi="Garamond"/>
          <w:sz w:val="18"/>
          <w:szCs w:val="18"/>
        </w:rPr>
      </w:pPr>
    </w:p>
    <w:p w:rsidR="0079255A" w:rsidRPr="00A26FAE" w:rsidRDefault="0079255A" w:rsidP="0079255A">
      <w:pPr>
        <w:spacing w:before="60"/>
        <w:outlineLvl w:val="0"/>
        <w:rPr>
          <w:rFonts w:ascii="Garamond" w:hAnsi="Garamond"/>
          <w:sz w:val="18"/>
          <w:szCs w:val="18"/>
        </w:rPr>
      </w:pPr>
      <w:r w:rsidRPr="00A26FAE">
        <w:rPr>
          <w:rFonts w:ascii="Garamond" w:hAnsi="Garamond"/>
          <w:sz w:val="18"/>
          <w:szCs w:val="18"/>
        </w:rPr>
        <w:t>ОАО  «АТС»  ______________</w:t>
      </w:r>
    </w:p>
    <w:p w:rsidR="0079255A" w:rsidRPr="00A26FAE" w:rsidRDefault="0079255A" w:rsidP="0079255A">
      <w:pPr>
        <w:spacing w:before="60"/>
        <w:outlineLvl w:val="0"/>
        <w:rPr>
          <w:rFonts w:ascii="Garamond" w:hAnsi="Garamond"/>
          <w:sz w:val="18"/>
          <w:szCs w:val="18"/>
        </w:rPr>
      </w:pPr>
    </w:p>
    <w:p w:rsidR="0079255A" w:rsidRPr="00A26FAE" w:rsidRDefault="0079255A" w:rsidP="0079255A">
      <w:pPr>
        <w:spacing w:before="60"/>
        <w:rPr>
          <w:rFonts w:ascii="Garamond" w:hAnsi="Garamond"/>
          <w:sz w:val="16"/>
          <w:szCs w:val="16"/>
        </w:rPr>
      </w:pPr>
      <w:r w:rsidRPr="00A26FAE">
        <w:rPr>
          <w:rFonts w:ascii="Garamond" w:hAnsi="Garamond"/>
          <w:sz w:val="16"/>
          <w:szCs w:val="16"/>
        </w:rPr>
        <w:t xml:space="preserve">* Признак «включения в АИИС» может указываться при отсутствии выданного </w:t>
      </w:r>
      <w:proofErr w:type="gramStart"/>
      <w:r w:rsidRPr="00A26FAE">
        <w:rPr>
          <w:rFonts w:ascii="Garamond" w:hAnsi="Garamond"/>
          <w:sz w:val="16"/>
          <w:szCs w:val="16"/>
        </w:rPr>
        <w:t>КО</w:t>
      </w:r>
      <w:proofErr w:type="gramEnd"/>
      <w:r w:rsidRPr="00A26FAE">
        <w:rPr>
          <w:rFonts w:ascii="Garamond" w:hAnsi="Garamond"/>
          <w:sz w:val="16"/>
          <w:szCs w:val="16"/>
        </w:rPr>
        <w:t xml:space="preserve"> Акта о соответствии системы коммерческого учета техническим требованиям оптового рынка электрической энергии (мощности) (далее – Акт о соответствии). Информация о включении приборов учета в АИИС не проверяется </w:t>
      </w:r>
      <w:proofErr w:type="gramStart"/>
      <w:r w:rsidRPr="00A26FAE">
        <w:rPr>
          <w:rFonts w:ascii="Garamond" w:hAnsi="Garamond"/>
          <w:sz w:val="16"/>
          <w:szCs w:val="16"/>
        </w:rPr>
        <w:t>КО</w:t>
      </w:r>
      <w:proofErr w:type="gramEnd"/>
      <w:r w:rsidRPr="00A26FAE">
        <w:rPr>
          <w:rFonts w:ascii="Garamond" w:hAnsi="Garamond"/>
          <w:sz w:val="16"/>
          <w:szCs w:val="16"/>
        </w:rPr>
        <w:t xml:space="preserve"> на этапе получения Заявителем статуса субъекта оптового рынка (согласования дополнительной группы точек поставки). </w:t>
      </w:r>
    </w:p>
    <w:p w:rsidR="0079255A" w:rsidRPr="00A26FAE" w:rsidRDefault="0079255A" w:rsidP="0079255A">
      <w:pPr>
        <w:spacing w:before="60"/>
        <w:rPr>
          <w:rFonts w:ascii="Garamond" w:hAnsi="Garamond"/>
          <w:sz w:val="16"/>
          <w:szCs w:val="16"/>
        </w:rPr>
      </w:pPr>
    </w:p>
    <w:p w:rsidR="0079255A" w:rsidRPr="00A26FAE" w:rsidRDefault="0079255A" w:rsidP="0079255A">
      <w:pPr>
        <w:spacing w:before="60"/>
        <w:rPr>
          <w:rFonts w:ascii="Garamond" w:hAnsi="Garamond"/>
          <w:sz w:val="16"/>
          <w:szCs w:val="16"/>
        </w:rPr>
      </w:pPr>
    </w:p>
    <w:p w:rsidR="0079255A" w:rsidRPr="00A26FAE" w:rsidRDefault="0079255A" w:rsidP="0079255A">
      <w:pPr>
        <w:spacing w:before="60"/>
        <w:rPr>
          <w:rFonts w:ascii="Garamond" w:hAnsi="Garamond"/>
          <w:sz w:val="18"/>
        </w:rPr>
      </w:pPr>
    </w:p>
    <w:p w:rsidR="0079255A" w:rsidRDefault="0079255A" w:rsidP="00921078">
      <w:pPr>
        <w:widowControl w:val="0"/>
        <w:rPr>
          <w:rFonts w:ascii="Garamond" w:hAnsi="Garamond"/>
        </w:rPr>
      </w:pPr>
    </w:p>
    <w:sectPr w:rsidR="0079255A" w:rsidSect="00921078">
      <w:pgSz w:w="16838" w:h="11906" w:orient="landscape"/>
      <w:pgMar w:top="1134" w:right="820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B25" w:rsidRDefault="00B42B25" w:rsidP="00B61832">
      <w:r>
        <w:separator/>
      </w:r>
    </w:p>
  </w:endnote>
  <w:endnote w:type="continuationSeparator" w:id="1">
    <w:p w:rsidR="00B42B25" w:rsidRDefault="00B42B25" w:rsidP="00B6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B25" w:rsidRDefault="00B42B25" w:rsidP="00B61832">
      <w:r>
        <w:separator/>
      </w:r>
    </w:p>
  </w:footnote>
  <w:footnote w:type="continuationSeparator" w:id="1">
    <w:p w:rsidR="00B42B25" w:rsidRDefault="00B42B25" w:rsidP="00B618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4A946C0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D60032"/>
    <w:multiLevelType w:val="hybridMultilevel"/>
    <w:tmpl w:val="5A0A9788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2">
    <w:nsid w:val="046C484F"/>
    <w:multiLevelType w:val="hybridMultilevel"/>
    <w:tmpl w:val="652CBFA2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5C61DA4"/>
    <w:multiLevelType w:val="hybridMultilevel"/>
    <w:tmpl w:val="69AED72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4">
    <w:nsid w:val="060110A0"/>
    <w:multiLevelType w:val="hybridMultilevel"/>
    <w:tmpl w:val="E264B69C"/>
    <w:lvl w:ilvl="0" w:tplc="117C1FD8">
      <w:start w:val="1"/>
      <w:numFmt w:val="decimal"/>
      <w:lvlText w:val="1.3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7C1FD8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92368A"/>
    <w:multiLevelType w:val="multilevel"/>
    <w:tmpl w:val="0D7473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0933193D"/>
    <w:multiLevelType w:val="hybridMultilevel"/>
    <w:tmpl w:val="2B84C4AE"/>
    <w:lvl w:ilvl="0" w:tplc="4ABC7C32">
      <w:start w:val="1"/>
      <w:numFmt w:val="decimal"/>
      <w:lvlText w:val="%1."/>
      <w:lvlJc w:val="left"/>
      <w:pPr>
        <w:ind w:left="9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7">
    <w:nsid w:val="09565BE9"/>
    <w:multiLevelType w:val="hybridMultilevel"/>
    <w:tmpl w:val="5884508C"/>
    <w:lvl w:ilvl="0" w:tplc="6E4A9A6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D7621C6"/>
    <w:multiLevelType w:val="hybridMultilevel"/>
    <w:tmpl w:val="69AED72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9">
    <w:nsid w:val="119E0668"/>
    <w:multiLevelType w:val="hybridMultilevel"/>
    <w:tmpl w:val="03C87E82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17512103"/>
    <w:multiLevelType w:val="hybridMultilevel"/>
    <w:tmpl w:val="69AED72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11">
    <w:nsid w:val="1B3575DD"/>
    <w:multiLevelType w:val="hybridMultilevel"/>
    <w:tmpl w:val="CABC4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0E88E2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B0145C6E">
      <w:numFmt w:val="none"/>
      <w:lvlText w:val=""/>
      <w:lvlJc w:val="left"/>
      <w:pPr>
        <w:tabs>
          <w:tab w:val="num" w:pos="360"/>
        </w:tabs>
      </w:pPr>
    </w:lvl>
    <w:lvl w:ilvl="3" w:tplc="7F205D72">
      <w:numFmt w:val="none"/>
      <w:lvlText w:val=""/>
      <w:lvlJc w:val="left"/>
      <w:pPr>
        <w:tabs>
          <w:tab w:val="num" w:pos="360"/>
        </w:tabs>
      </w:pPr>
    </w:lvl>
    <w:lvl w:ilvl="4" w:tplc="5382F2C6">
      <w:numFmt w:val="none"/>
      <w:lvlText w:val=""/>
      <w:lvlJc w:val="left"/>
      <w:pPr>
        <w:tabs>
          <w:tab w:val="num" w:pos="360"/>
        </w:tabs>
      </w:pPr>
    </w:lvl>
    <w:lvl w:ilvl="5" w:tplc="311EA608">
      <w:numFmt w:val="none"/>
      <w:lvlText w:val=""/>
      <w:lvlJc w:val="left"/>
      <w:pPr>
        <w:tabs>
          <w:tab w:val="num" w:pos="360"/>
        </w:tabs>
      </w:pPr>
    </w:lvl>
    <w:lvl w:ilvl="6" w:tplc="FBFC76F4">
      <w:numFmt w:val="none"/>
      <w:lvlText w:val=""/>
      <w:lvlJc w:val="left"/>
      <w:pPr>
        <w:tabs>
          <w:tab w:val="num" w:pos="360"/>
        </w:tabs>
      </w:pPr>
    </w:lvl>
    <w:lvl w:ilvl="7" w:tplc="EAD46766">
      <w:numFmt w:val="none"/>
      <w:lvlText w:val=""/>
      <w:lvlJc w:val="left"/>
      <w:pPr>
        <w:tabs>
          <w:tab w:val="num" w:pos="360"/>
        </w:tabs>
      </w:pPr>
    </w:lvl>
    <w:lvl w:ilvl="8" w:tplc="28E8C66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00212F2"/>
    <w:multiLevelType w:val="hybridMultilevel"/>
    <w:tmpl w:val="69AED72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13">
    <w:nsid w:val="200A6143"/>
    <w:multiLevelType w:val="hybridMultilevel"/>
    <w:tmpl w:val="36329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0B568CF"/>
    <w:multiLevelType w:val="hybridMultilevel"/>
    <w:tmpl w:val="41C6D51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55D23C1"/>
    <w:multiLevelType w:val="hybridMultilevel"/>
    <w:tmpl w:val="69AED72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16">
    <w:nsid w:val="257B0718"/>
    <w:multiLevelType w:val="hybridMultilevel"/>
    <w:tmpl w:val="04BCFA3A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7256B95"/>
    <w:multiLevelType w:val="hybridMultilevel"/>
    <w:tmpl w:val="04BCFA3A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B951D30"/>
    <w:multiLevelType w:val="multilevel"/>
    <w:tmpl w:val="CC86A6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>
    <w:nsid w:val="2D7C3875"/>
    <w:multiLevelType w:val="hybridMultilevel"/>
    <w:tmpl w:val="04BCFA3A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EB9188D"/>
    <w:multiLevelType w:val="hybridMultilevel"/>
    <w:tmpl w:val="76169BA4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21">
    <w:nsid w:val="2FF75498"/>
    <w:multiLevelType w:val="multilevel"/>
    <w:tmpl w:val="46D82C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2">
    <w:nsid w:val="328E3345"/>
    <w:multiLevelType w:val="hybridMultilevel"/>
    <w:tmpl w:val="2D92C3F0"/>
    <w:lvl w:ilvl="0" w:tplc="FFFFFFFF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23">
    <w:nsid w:val="3A1B5011"/>
    <w:multiLevelType w:val="hybridMultilevel"/>
    <w:tmpl w:val="D8EA0DE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24">
    <w:nsid w:val="3BEF7D35"/>
    <w:multiLevelType w:val="hybridMultilevel"/>
    <w:tmpl w:val="BC441BF2"/>
    <w:lvl w:ilvl="0" w:tplc="7C9869C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Garamond" w:hAnsi="Garamond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7773D9"/>
    <w:multiLevelType w:val="hybridMultilevel"/>
    <w:tmpl w:val="5884508C"/>
    <w:lvl w:ilvl="0" w:tplc="6E4A9A6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CC176C8"/>
    <w:multiLevelType w:val="hybridMultilevel"/>
    <w:tmpl w:val="787A62B6"/>
    <w:lvl w:ilvl="0" w:tplc="FFFFFFFF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2D7791A"/>
    <w:multiLevelType w:val="hybridMultilevel"/>
    <w:tmpl w:val="787A62B6"/>
    <w:lvl w:ilvl="0" w:tplc="FFFFFFFF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A4F01EB"/>
    <w:multiLevelType w:val="hybridMultilevel"/>
    <w:tmpl w:val="04BCFA3A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E7654D0"/>
    <w:multiLevelType w:val="hybridMultilevel"/>
    <w:tmpl w:val="63BCA2D6"/>
    <w:lvl w:ilvl="0" w:tplc="62BE78D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>
    <w:nsid w:val="4F650E41"/>
    <w:multiLevelType w:val="hybridMultilevel"/>
    <w:tmpl w:val="E30001DC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1CFA6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3B7B4B"/>
    <w:multiLevelType w:val="hybridMultilevel"/>
    <w:tmpl w:val="5AAE5DBC"/>
    <w:lvl w:ilvl="0" w:tplc="7E842410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6D151C5"/>
    <w:multiLevelType w:val="hybridMultilevel"/>
    <w:tmpl w:val="5190938C"/>
    <w:lvl w:ilvl="0" w:tplc="821CFA6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6C43ED"/>
    <w:multiLevelType w:val="hybridMultilevel"/>
    <w:tmpl w:val="5884508C"/>
    <w:lvl w:ilvl="0" w:tplc="6E4A9A6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A0A09D3"/>
    <w:multiLevelType w:val="hybridMultilevel"/>
    <w:tmpl w:val="5884508C"/>
    <w:lvl w:ilvl="0" w:tplc="6E4A9A6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A954856"/>
    <w:multiLevelType w:val="hybridMultilevel"/>
    <w:tmpl w:val="69AED72C"/>
    <w:lvl w:ilvl="0" w:tplc="FFFFFFFF">
      <w:start w:val="1"/>
      <w:numFmt w:val="russianLower"/>
      <w:lvlText w:val="%1)"/>
      <w:lvlJc w:val="left"/>
      <w:pPr>
        <w:ind w:left="8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36">
    <w:nsid w:val="5AC865AE"/>
    <w:multiLevelType w:val="hybridMultilevel"/>
    <w:tmpl w:val="2324A4DA"/>
    <w:lvl w:ilvl="0" w:tplc="DDCA2B2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>
    <w:nsid w:val="5FE22AAB"/>
    <w:multiLevelType w:val="hybridMultilevel"/>
    <w:tmpl w:val="5E0A2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0E88E2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B0145C6E">
      <w:numFmt w:val="none"/>
      <w:lvlText w:val=""/>
      <w:lvlJc w:val="left"/>
      <w:pPr>
        <w:tabs>
          <w:tab w:val="num" w:pos="360"/>
        </w:tabs>
      </w:pPr>
    </w:lvl>
    <w:lvl w:ilvl="3" w:tplc="7F205D72">
      <w:numFmt w:val="none"/>
      <w:lvlText w:val=""/>
      <w:lvlJc w:val="left"/>
      <w:pPr>
        <w:tabs>
          <w:tab w:val="num" w:pos="360"/>
        </w:tabs>
      </w:pPr>
    </w:lvl>
    <w:lvl w:ilvl="4" w:tplc="5382F2C6">
      <w:numFmt w:val="none"/>
      <w:lvlText w:val=""/>
      <w:lvlJc w:val="left"/>
      <w:pPr>
        <w:tabs>
          <w:tab w:val="num" w:pos="360"/>
        </w:tabs>
      </w:pPr>
    </w:lvl>
    <w:lvl w:ilvl="5" w:tplc="311EA608">
      <w:numFmt w:val="none"/>
      <w:lvlText w:val=""/>
      <w:lvlJc w:val="left"/>
      <w:pPr>
        <w:tabs>
          <w:tab w:val="num" w:pos="360"/>
        </w:tabs>
      </w:pPr>
    </w:lvl>
    <w:lvl w:ilvl="6" w:tplc="FBFC76F4">
      <w:numFmt w:val="none"/>
      <w:lvlText w:val=""/>
      <w:lvlJc w:val="left"/>
      <w:pPr>
        <w:tabs>
          <w:tab w:val="num" w:pos="360"/>
        </w:tabs>
      </w:pPr>
    </w:lvl>
    <w:lvl w:ilvl="7" w:tplc="EAD46766">
      <w:numFmt w:val="none"/>
      <w:lvlText w:val=""/>
      <w:lvlJc w:val="left"/>
      <w:pPr>
        <w:tabs>
          <w:tab w:val="num" w:pos="360"/>
        </w:tabs>
      </w:pPr>
    </w:lvl>
    <w:lvl w:ilvl="8" w:tplc="28E8C664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52B4153"/>
    <w:multiLevelType w:val="hybridMultilevel"/>
    <w:tmpl w:val="04BCFA3A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8C147EC"/>
    <w:multiLevelType w:val="hybridMultilevel"/>
    <w:tmpl w:val="04BCFA3A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8ED714F"/>
    <w:multiLevelType w:val="hybridMultilevel"/>
    <w:tmpl w:val="7668D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0E88E2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B0145C6E">
      <w:numFmt w:val="none"/>
      <w:lvlText w:val=""/>
      <w:lvlJc w:val="left"/>
      <w:pPr>
        <w:tabs>
          <w:tab w:val="num" w:pos="360"/>
        </w:tabs>
      </w:pPr>
    </w:lvl>
    <w:lvl w:ilvl="3" w:tplc="7F205D72">
      <w:numFmt w:val="none"/>
      <w:lvlText w:val=""/>
      <w:lvlJc w:val="left"/>
      <w:pPr>
        <w:tabs>
          <w:tab w:val="num" w:pos="360"/>
        </w:tabs>
      </w:pPr>
    </w:lvl>
    <w:lvl w:ilvl="4" w:tplc="5382F2C6">
      <w:numFmt w:val="none"/>
      <w:lvlText w:val=""/>
      <w:lvlJc w:val="left"/>
      <w:pPr>
        <w:tabs>
          <w:tab w:val="num" w:pos="360"/>
        </w:tabs>
      </w:pPr>
    </w:lvl>
    <w:lvl w:ilvl="5" w:tplc="311EA608">
      <w:numFmt w:val="none"/>
      <w:lvlText w:val=""/>
      <w:lvlJc w:val="left"/>
      <w:pPr>
        <w:tabs>
          <w:tab w:val="num" w:pos="360"/>
        </w:tabs>
      </w:pPr>
    </w:lvl>
    <w:lvl w:ilvl="6" w:tplc="FBFC76F4">
      <w:numFmt w:val="none"/>
      <w:lvlText w:val=""/>
      <w:lvlJc w:val="left"/>
      <w:pPr>
        <w:tabs>
          <w:tab w:val="num" w:pos="360"/>
        </w:tabs>
      </w:pPr>
    </w:lvl>
    <w:lvl w:ilvl="7" w:tplc="EAD46766">
      <w:numFmt w:val="none"/>
      <w:lvlText w:val=""/>
      <w:lvlJc w:val="left"/>
      <w:pPr>
        <w:tabs>
          <w:tab w:val="num" w:pos="360"/>
        </w:tabs>
      </w:pPr>
    </w:lvl>
    <w:lvl w:ilvl="8" w:tplc="28E8C664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B7214BF"/>
    <w:multiLevelType w:val="hybridMultilevel"/>
    <w:tmpl w:val="BC441BF2"/>
    <w:lvl w:ilvl="0" w:tplc="7C9869C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Garamond" w:hAnsi="Garamond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AC1203"/>
    <w:multiLevelType w:val="hybridMultilevel"/>
    <w:tmpl w:val="6C2E909A"/>
    <w:lvl w:ilvl="0" w:tplc="85102380">
      <w:start w:val="1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C3785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18A3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1"/>
  </w:num>
  <w:num w:numId="4">
    <w:abstractNumId w:val="17"/>
  </w:num>
  <w:num w:numId="5">
    <w:abstractNumId w:val="19"/>
  </w:num>
  <w:num w:numId="6">
    <w:abstractNumId w:val="16"/>
  </w:num>
  <w:num w:numId="7">
    <w:abstractNumId w:val="15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35"/>
  </w:num>
  <w:num w:numId="13">
    <w:abstractNumId w:val="28"/>
  </w:num>
  <w:num w:numId="14">
    <w:abstractNumId w:val="22"/>
  </w:num>
  <w:num w:numId="15">
    <w:abstractNumId w:val="39"/>
  </w:num>
  <w:num w:numId="16">
    <w:abstractNumId w:val="23"/>
  </w:num>
  <w:num w:numId="17">
    <w:abstractNumId w:val="38"/>
  </w:num>
  <w:num w:numId="18">
    <w:abstractNumId w:val="1"/>
  </w:num>
  <w:num w:numId="19">
    <w:abstractNumId w:val="20"/>
  </w:num>
  <w:num w:numId="20">
    <w:abstractNumId w:val="26"/>
  </w:num>
  <w:num w:numId="21">
    <w:abstractNumId w:val="30"/>
  </w:num>
  <w:num w:numId="22">
    <w:abstractNumId w:val="36"/>
  </w:num>
  <w:num w:numId="23">
    <w:abstractNumId w:val="40"/>
  </w:num>
  <w:num w:numId="24">
    <w:abstractNumId w:val="37"/>
  </w:num>
  <w:num w:numId="25">
    <w:abstractNumId w:val="11"/>
  </w:num>
  <w:num w:numId="26">
    <w:abstractNumId w:val="24"/>
  </w:num>
  <w:num w:numId="27">
    <w:abstractNumId w:val="41"/>
  </w:num>
  <w:num w:numId="28">
    <w:abstractNumId w:val="27"/>
  </w:num>
  <w:num w:numId="29">
    <w:abstractNumId w:val="32"/>
  </w:num>
  <w:num w:numId="30">
    <w:abstractNumId w:val="34"/>
  </w:num>
  <w:num w:numId="31">
    <w:abstractNumId w:val="33"/>
  </w:num>
  <w:num w:numId="32">
    <w:abstractNumId w:val="25"/>
  </w:num>
  <w:num w:numId="33">
    <w:abstractNumId w:val="4"/>
  </w:num>
  <w:num w:numId="34">
    <w:abstractNumId w:val="42"/>
  </w:num>
  <w:num w:numId="35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6"/>
  </w:num>
  <w:num w:numId="38">
    <w:abstractNumId w:val="14"/>
  </w:num>
  <w:num w:numId="39">
    <w:abstractNumId w:val="0"/>
    <w:lvlOverride w:ilvl="0">
      <w:startOverride w:val="1"/>
    </w:lvlOverride>
  </w:num>
  <w:num w:numId="40">
    <w:abstractNumId w:val="18"/>
  </w:num>
  <w:num w:numId="41">
    <w:abstractNumId w:val="21"/>
  </w:num>
  <w:num w:numId="42">
    <w:abstractNumId w:val="5"/>
  </w:num>
  <w:num w:numId="43">
    <w:abstractNumId w:val="2"/>
  </w:num>
  <w:num w:numId="44">
    <w:abstractNumId w:val="9"/>
  </w:num>
  <w:num w:numId="45">
    <w:abstractNumId w:val="1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removePersonalInformation/>
  <w:removeDateAndTime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1661BA"/>
    <w:rsid w:val="00003154"/>
    <w:rsid w:val="00004175"/>
    <w:rsid w:val="00014A3D"/>
    <w:rsid w:val="00014CCF"/>
    <w:rsid w:val="00027CD2"/>
    <w:rsid w:val="000345CF"/>
    <w:rsid w:val="0003489A"/>
    <w:rsid w:val="00041077"/>
    <w:rsid w:val="0004162D"/>
    <w:rsid w:val="000508DB"/>
    <w:rsid w:val="00053D8D"/>
    <w:rsid w:val="00065A75"/>
    <w:rsid w:val="0007795E"/>
    <w:rsid w:val="00085152"/>
    <w:rsid w:val="000A6981"/>
    <w:rsid w:val="000A6A42"/>
    <w:rsid w:val="000B2B9D"/>
    <w:rsid w:val="000B2EAF"/>
    <w:rsid w:val="000B3DF2"/>
    <w:rsid w:val="000B4307"/>
    <w:rsid w:val="000B59F5"/>
    <w:rsid w:val="000B7A9A"/>
    <w:rsid w:val="000C12CA"/>
    <w:rsid w:val="000C7C2C"/>
    <w:rsid w:val="000E46BD"/>
    <w:rsid w:val="000F0836"/>
    <w:rsid w:val="000F0E01"/>
    <w:rsid w:val="000F6885"/>
    <w:rsid w:val="000F7881"/>
    <w:rsid w:val="00101FB3"/>
    <w:rsid w:val="001078D4"/>
    <w:rsid w:val="00113FDD"/>
    <w:rsid w:val="001140E5"/>
    <w:rsid w:val="00116119"/>
    <w:rsid w:val="001248CD"/>
    <w:rsid w:val="00127978"/>
    <w:rsid w:val="00130E3D"/>
    <w:rsid w:val="001444DA"/>
    <w:rsid w:val="0014650C"/>
    <w:rsid w:val="00147242"/>
    <w:rsid w:val="001472D9"/>
    <w:rsid w:val="0015249C"/>
    <w:rsid w:val="001550D1"/>
    <w:rsid w:val="00160B44"/>
    <w:rsid w:val="00161D96"/>
    <w:rsid w:val="001634AD"/>
    <w:rsid w:val="001658C3"/>
    <w:rsid w:val="001661BA"/>
    <w:rsid w:val="00175EC0"/>
    <w:rsid w:val="00183103"/>
    <w:rsid w:val="00197F6A"/>
    <w:rsid w:val="001A2211"/>
    <w:rsid w:val="001A2B21"/>
    <w:rsid w:val="001B1C54"/>
    <w:rsid w:val="001D0711"/>
    <w:rsid w:val="001E0821"/>
    <w:rsid w:val="001E33C6"/>
    <w:rsid w:val="001E7D04"/>
    <w:rsid w:val="001F1C7A"/>
    <w:rsid w:val="001F2B22"/>
    <w:rsid w:val="00201140"/>
    <w:rsid w:val="002011E3"/>
    <w:rsid w:val="002057BA"/>
    <w:rsid w:val="00206A41"/>
    <w:rsid w:val="00214281"/>
    <w:rsid w:val="0021461C"/>
    <w:rsid w:val="00220B3F"/>
    <w:rsid w:val="002211E8"/>
    <w:rsid w:val="00234DD9"/>
    <w:rsid w:val="00253759"/>
    <w:rsid w:val="00256732"/>
    <w:rsid w:val="002577C9"/>
    <w:rsid w:val="002611F7"/>
    <w:rsid w:val="002614D5"/>
    <w:rsid w:val="00262541"/>
    <w:rsid w:val="002656D9"/>
    <w:rsid w:val="00265F03"/>
    <w:rsid w:val="002743B9"/>
    <w:rsid w:val="0027511E"/>
    <w:rsid w:val="00275CFA"/>
    <w:rsid w:val="00276DC8"/>
    <w:rsid w:val="0029101F"/>
    <w:rsid w:val="0029255E"/>
    <w:rsid w:val="002A3BC6"/>
    <w:rsid w:val="002A5484"/>
    <w:rsid w:val="002A6589"/>
    <w:rsid w:val="002B39A5"/>
    <w:rsid w:val="002C50FB"/>
    <w:rsid w:val="002C5AC3"/>
    <w:rsid w:val="002C61AA"/>
    <w:rsid w:val="002D5EA4"/>
    <w:rsid w:val="002D65FC"/>
    <w:rsid w:val="002F0DD4"/>
    <w:rsid w:val="002F115D"/>
    <w:rsid w:val="002F1BA8"/>
    <w:rsid w:val="002F1F6E"/>
    <w:rsid w:val="002F2CFD"/>
    <w:rsid w:val="00304426"/>
    <w:rsid w:val="003165A2"/>
    <w:rsid w:val="003271C3"/>
    <w:rsid w:val="00335508"/>
    <w:rsid w:val="003441BA"/>
    <w:rsid w:val="00344E66"/>
    <w:rsid w:val="00344EA5"/>
    <w:rsid w:val="00350D4F"/>
    <w:rsid w:val="00353ACA"/>
    <w:rsid w:val="00357828"/>
    <w:rsid w:val="00367153"/>
    <w:rsid w:val="00373AF2"/>
    <w:rsid w:val="0038267C"/>
    <w:rsid w:val="00383832"/>
    <w:rsid w:val="00384D93"/>
    <w:rsid w:val="003905C4"/>
    <w:rsid w:val="00391EAC"/>
    <w:rsid w:val="00397DFC"/>
    <w:rsid w:val="003A1E6E"/>
    <w:rsid w:val="003B06D8"/>
    <w:rsid w:val="003B2B50"/>
    <w:rsid w:val="003B47C3"/>
    <w:rsid w:val="003D0344"/>
    <w:rsid w:val="003D3D17"/>
    <w:rsid w:val="003E29BC"/>
    <w:rsid w:val="003E62E7"/>
    <w:rsid w:val="003F04C3"/>
    <w:rsid w:val="003F3AE0"/>
    <w:rsid w:val="003F473F"/>
    <w:rsid w:val="003F7408"/>
    <w:rsid w:val="0040025D"/>
    <w:rsid w:val="00403566"/>
    <w:rsid w:val="004077AD"/>
    <w:rsid w:val="00420B3A"/>
    <w:rsid w:val="0042323F"/>
    <w:rsid w:val="00425539"/>
    <w:rsid w:val="004271D3"/>
    <w:rsid w:val="0042723D"/>
    <w:rsid w:val="00436460"/>
    <w:rsid w:val="00436E59"/>
    <w:rsid w:val="004371E1"/>
    <w:rsid w:val="00446A6C"/>
    <w:rsid w:val="004541E5"/>
    <w:rsid w:val="00456849"/>
    <w:rsid w:val="0046266D"/>
    <w:rsid w:val="004660C7"/>
    <w:rsid w:val="00467ED8"/>
    <w:rsid w:val="00471BF0"/>
    <w:rsid w:val="004810E9"/>
    <w:rsid w:val="00492980"/>
    <w:rsid w:val="004A23C2"/>
    <w:rsid w:val="004A4F99"/>
    <w:rsid w:val="004A531E"/>
    <w:rsid w:val="004A7A36"/>
    <w:rsid w:val="004B25FD"/>
    <w:rsid w:val="004B3D4F"/>
    <w:rsid w:val="004B628D"/>
    <w:rsid w:val="004C3CEB"/>
    <w:rsid w:val="004C7356"/>
    <w:rsid w:val="004C7F0E"/>
    <w:rsid w:val="004D18AC"/>
    <w:rsid w:val="004D5849"/>
    <w:rsid w:val="004E1DFC"/>
    <w:rsid w:val="004E5792"/>
    <w:rsid w:val="004E73EB"/>
    <w:rsid w:val="004F3779"/>
    <w:rsid w:val="004F69FC"/>
    <w:rsid w:val="004F7E63"/>
    <w:rsid w:val="005032C0"/>
    <w:rsid w:val="00511DFA"/>
    <w:rsid w:val="00530DC8"/>
    <w:rsid w:val="00531A58"/>
    <w:rsid w:val="00537795"/>
    <w:rsid w:val="00541360"/>
    <w:rsid w:val="00546E94"/>
    <w:rsid w:val="00553C57"/>
    <w:rsid w:val="00557041"/>
    <w:rsid w:val="005622E9"/>
    <w:rsid w:val="00567DB9"/>
    <w:rsid w:val="005817E5"/>
    <w:rsid w:val="00581ACD"/>
    <w:rsid w:val="00584727"/>
    <w:rsid w:val="005852EF"/>
    <w:rsid w:val="00592D48"/>
    <w:rsid w:val="0059494E"/>
    <w:rsid w:val="005A4474"/>
    <w:rsid w:val="005C4694"/>
    <w:rsid w:val="005D1188"/>
    <w:rsid w:val="005D4E13"/>
    <w:rsid w:val="005D6930"/>
    <w:rsid w:val="005E2968"/>
    <w:rsid w:val="005E3261"/>
    <w:rsid w:val="005E521F"/>
    <w:rsid w:val="005F5C45"/>
    <w:rsid w:val="005F7AC8"/>
    <w:rsid w:val="00624357"/>
    <w:rsid w:val="006265DB"/>
    <w:rsid w:val="00626ACF"/>
    <w:rsid w:val="0063220D"/>
    <w:rsid w:val="006353A2"/>
    <w:rsid w:val="00635AA3"/>
    <w:rsid w:val="00636F0F"/>
    <w:rsid w:val="00641FD2"/>
    <w:rsid w:val="00644305"/>
    <w:rsid w:val="006527BD"/>
    <w:rsid w:val="0065519F"/>
    <w:rsid w:val="00657C5B"/>
    <w:rsid w:val="00660CB9"/>
    <w:rsid w:val="006617AD"/>
    <w:rsid w:val="00672241"/>
    <w:rsid w:val="00674903"/>
    <w:rsid w:val="006759B3"/>
    <w:rsid w:val="0069409D"/>
    <w:rsid w:val="00694F48"/>
    <w:rsid w:val="006A7281"/>
    <w:rsid w:val="006B0B90"/>
    <w:rsid w:val="006B1777"/>
    <w:rsid w:val="006B4013"/>
    <w:rsid w:val="006B6E10"/>
    <w:rsid w:val="006C325A"/>
    <w:rsid w:val="006C715B"/>
    <w:rsid w:val="006D0FF7"/>
    <w:rsid w:val="006D4766"/>
    <w:rsid w:val="006D4D76"/>
    <w:rsid w:val="006D6C84"/>
    <w:rsid w:val="006E1A9B"/>
    <w:rsid w:val="006E37CF"/>
    <w:rsid w:val="006E6B50"/>
    <w:rsid w:val="006F01F7"/>
    <w:rsid w:val="006F1143"/>
    <w:rsid w:val="006F6BB4"/>
    <w:rsid w:val="0070641E"/>
    <w:rsid w:val="007075AB"/>
    <w:rsid w:val="00707C0A"/>
    <w:rsid w:val="00707E04"/>
    <w:rsid w:val="00710885"/>
    <w:rsid w:val="00712F62"/>
    <w:rsid w:val="00716202"/>
    <w:rsid w:val="007215C0"/>
    <w:rsid w:val="00725CD8"/>
    <w:rsid w:val="0075035B"/>
    <w:rsid w:val="00760C41"/>
    <w:rsid w:val="00763E04"/>
    <w:rsid w:val="0077235C"/>
    <w:rsid w:val="00772626"/>
    <w:rsid w:val="00773039"/>
    <w:rsid w:val="00776C47"/>
    <w:rsid w:val="00781ABA"/>
    <w:rsid w:val="00782746"/>
    <w:rsid w:val="007834FF"/>
    <w:rsid w:val="007844B3"/>
    <w:rsid w:val="007867D6"/>
    <w:rsid w:val="007903C1"/>
    <w:rsid w:val="00791A90"/>
    <w:rsid w:val="0079201C"/>
    <w:rsid w:val="0079255A"/>
    <w:rsid w:val="00794EDB"/>
    <w:rsid w:val="007959D6"/>
    <w:rsid w:val="00795A17"/>
    <w:rsid w:val="00796D6C"/>
    <w:rsid w:val="007A6100"/>
    <w:rsid w:val="007A71B9"/>
    <w:rsid w:val="007B0CE8"/>
    <w:rsid w:val="007B41C0"/>
    <w:rsid w:val="007C040D"/>
    <w:rsid w:val="007C077E"/>
    <w:rsid w:val="007C224C"/>
    <w:rsid w:val="007E2704"/>
    <w:rsid w:val="00801225"/>
    <w:rsid w:val="00801F0B"/>
    <w:rsid w:val="00810460"/>
    <w:rsid w:val="00815D21"/>
    <w:rsid w:val="00816506"/>
    <w:rsid w:val="00817843"/>
    <w:rsid w:val="0082131D"/>
    <w:rsid w:val="0082413B"/>
    <w:rsid w:val="008260C1"/>
    <w:rsid w:val="00831AF7"/>
    <w:rsid w:val="00847662"/>
    <w:rsid w:val="008526B1"/>
    <w:rsid w:val="00866BA5"/>
    <w:rsid w:val="00871DA6"/>
    <w:rsid w:val="00876279"/>
    <w:rsid w:val="008831D2"/>
    <w:rsid w:val="00883D30"/>
    <w:rsid w:val="008969D8"/>
    <w:rsid w:val="00897768"/>
    <w:rsid w:val="008A3784"/>
    <w:rsid w:val="008A7780"/>
    <w:rsid w:val="008B45F4"/>
    <w:rsid w:val="008B7876"/>
    <w:rsid w:val="008C0055"/>
    <w:rsid w:val="008E0878"/>
    <w:rsid w:val="008F1468"/>
    <w:rsid w:val="008F3F81"/>
    <w:rsid w:val="00903150"/>
    <w:rsid w:val="00911FE2"/>
    <w:rsid w:val="0091341F"/>
    <w:rsid w:val="00917D92"/>
    <w:rsid w:val="00921078"/>
    <w:rsid w:val="00924689"/>
    <w:rsid w:val="0094348D"/>
    <w:rsid w:val="009662A5"/>
    <w:rsid w:val="00975FDF"/>
    <w:rsid w:val="00976D1B"/>
    <w:rsid w:val="00983C91"/>
    <w:rsid w:val="009A1516"/>
    <w:rsid w:val="009A6418"/>
    <w:rsid w:val="009B3EB8"/>
    <w:rsid w:val="009C5071"/>
    <w:rsid w:val="009C7721"/>
    <w:rsid w:val="009D263A"/>
    <w:rsid w:val="009D3267"/>
    <w:rsid w:val="009D3A18"/>
    <w:rsid w:val="009D495C"/>
    <w:rsid w:val="009D5254"/>
    <w:rsid w:val="009E62B8"/>
    <w:rsid w:val="009F3163"/>
    <w:rsid w:val="009F3A5D"/>
    <w:rsid w:val="00A0014E"/>
    <w:rsid w:val="00A07CC7"/>
    <w:rsid w:val="00A107B7"/>
    <w:rsid w:val="00A1128E"/>
    <w:rsid w:val="00A123BC"/>
    <w:rsid w:val="00A1763F"/>
    <w:rsid w:val="00A23A7D"/>
    <w:rsid w:val="00A25473"/>
    <w:rsid w:val="00A2759A"/>
    <w:rsid w:val="00A30673"/>
    <w:rsid w:val="00A43A1F"/>
    <w:rsid w:val="00A4770C"/>
    <w:rsid w:val="00A51891"/>
    <w:rsid w:val="00A520AF"/>
    <w:rsid w:val="00A54615"/>
    <w:rsid w:val="00A5583D"/>
    <w:rsid w:val="00A65829"/>
    <w:rsid w:val="00A65CA1"/>
    <w:rsid w:val="00A66604"/>
    <w:rsid w:val="00A76030"/>
    <w:rsid w:val="00A80323"/>
    <w:rsid w:val="00A815E4"/>
    <w:rsid w:val="00A82039"/>
    <w:rsid w:val="00A9075C"/>
    <w:rsid w:val="00A92FEF"/>
    <w:rsid w:val="00A95354"/>
    <w:rsid w:val="00A97E0A"/>
    <w:rsid w:val="00AA1550"/>
    <w:rsid w:val="00AA407F"/>
    <w:rsid w:val="00AA4742"/>
    <w:rsid w:val="00AB0168"/>
    <w:rsid w:val="00AB11C8"/>
    <w:rsid w:val="00AB205C"/>
    <w:rsid w:val="00AB752E"/>
    <w:rsid w:val="00AB7D25"/>
    <w:rsid w:val="00AD2B9F"/>
    <w:rsid w:val="00AD5A5E"/>
    <w:rsid w:val="00AE5731"/>
    <w:rsid w:val="00AF0148"/>
    <w:rsid w:val="00B00394"/>
    <w:rsid w:val="00B07560"/>
    <w:rsid w:val="00B07A98"/>
    <w:rsid w:val="00B12D3F"/>
    <w:rsid w:val="00B1411B"/>
    <w:rsid w:val="00B2536A"/>
    <w:rsid w:val="00B30434"/>
    <w:rsid w:val="00B42B25"/>
    <w:rsid w:val="00B466F7"/>
    <w:rsid w:val="00B47DCE"/>
    <w:rsid w:val="00B52B3E"/>
    <w:rsid w:val="00B530A9"/>
    <w:rsid w:val="00B57EA0"/>
    <w:rsid w:val="00B6042F"/>
    <w:rsid w:val="00B61832"/>
    <w:rsid w:val="00B63A52"/>
    <w:rsid w:val="00B71E66"/>
    <w:rsid w:val="00B72AEC"/>
    <w:rsid w:val="00B7602B"/>
    <w:rsid w:val="00B90455"/>
    <w:rsid w:val="00B92B48"/>
    <w:rsid w:val="00BA3228"/>
    <w:rsid w:val="00BA3D11"/>
    <w:rsid w:val="00BA452B"/>
    <w:rsid w:val="00BA6E32"/>
    <w:rsid w:val="00BC1B03"/>
    <w:rsid w:val="00BC4130"/>
    <w:rsid w:val="00BC67BD"/>
    <w:rsid w:val="00BD5F15"/>
    <w:rsid w:val="00BD6448"/>
    <w:rsid w:val="00BE26B3"/>
    <w:rsid w:val="00BF7D2B"/>
    <w:rsid w:val="00C035F4"/>
    <w:rsid w:val="00C157F6"/>
    <w:rsid w:val="00C1668D"/>
    <w:rsid w:val="00C16F85"/>
    <w:rsid w:val="00C236FE"/>
    <w:rsid w:val="00C35C58"/>
    <w:rsid w:val="00C36BD6"/>
    <w:rsid w:val="00C36FD9"/>
    <w:rsid w:val="00C37CED"/>
    <w:rsid w:val="00C505F6"/>
    <w:rsid w:val="00C50CB8"/>
    <w:rsid w:val="00C53617"/>
    <w:rsid w:val="00C61F0A"/>
    <w:rsid w:val="00C62825"/>
    <w:rsid w:val="00C653E6"/>
    <w:rsid w:val="00C7019D"/>
    <w:rsid w:val="00C702C7"/>
    <w:rsid w:val="00C72486"/>
    <w:rsid w:val="00C739B8"/>
    <w:rsid w:val="00C8085E"/>
    <w:rsid w:val="00C8583E"/>
    <w:rsid w:val="00C85A5F"/>
    <w:rsid w:val="00C961BA"/>
    <w:rsid w:val="00C9780A"/>
    <w:rsid w:val="00CA11DB"/>
    <w:rsid w:val="00CA71B5"/>
    <w:rsid w:val="00CB13BE"/>
    <w:rsid w:val="00CB397C"/>
    <w:rsid w:val="00CB5BD9"/>
    <w:rsid w:val="00CC192C"/>
    <w:rsid w:val="00CC6B0E"/>
    <w:rsid w:val="00CD066A"/>
    <w:rsid w:val="00CD15BF"/>
    <w:rsid w:val="00CD45AA"/>
    <w:rsid w:val="00CD6763"/>
    <w:rsid w:val="00CE3CB2"/>
    <w:rsid w:val="00CE3D01"/>
    <w:rsid w:val="00CF123D"/>
    <w:rsid w:val="00CF2A71"/>
    <w:rsid w:val="00CF3AD7"/>
    <w:rsid w:val="00CF513E"/>
    <w:rsid w:val="00D051D4"/>
    <w:rsid w:val="00D14766"/>
    <w:rsid w:val="00D20DF0"/>
    <w:rsid w:val="00D21DE0"/>
    <w:rsid w:val="00D2339F"/>
    <w:rsid w:val="00D26805"/>
    <w:rsid w:val="00D314D5"/>
    <w:rsid w:val="00D418FE"/>
    <w:rsid w:val="00D427A2"/>
    <w:rsid w:val="00D43D06"/>
    <w:rsid w:val="00D45CB4"/>
    <w:rsid w:val="00D47DAA"/>
    <w:rsid w:val="00D735D0"/>
    <w:rsid w:val="00D77BB7"/>
    <w:rsid w:val="00D82541"/>
    <w:rsid w:val="00D845B7"/>
    <w:rsid w:val="00D94397"/>
    <w:rsid w:val="00DA2A93"/>
    <w:rsid w:val="00DA6FFC"/>
    <w:rsid w:val="00DA7990"/>
    <w:rsid w:val="00DB1F3D"/>
    <w:rsid w:val="00DC5504"/>
    <w:rsid w:val="00DE00C5"/>
    <w:rsid w:val="00DE281D"/>
    <w:rsid w:val="00DE4F95"/>
    <w:rsid w:val="00DE51E0"/>
    <w:rsid w:val="00DF114D"/>
    <w:rsid w:val="00E01E6D"/>
    <w:rsid w:val="00E0582F"/>
    <w:rsid w:val="00E14D07"/>
    <w:rsid w:val="00E23F1E"/>
    <w:rsid w:val="00E25C3E"/>
    <w:rsid w:val="00E338DC"/>
    <w:rsid w:val="00E407BD"/>
    <w:rsid w:val="00E4426A"/>
    <w:rsid w:val="00E54EC0"/>
    <w:rsid w:val="00E57AE8"/>
    <w:rsid w:val="00E62BF7"/>
    <w:rsid w:val="00E6328B"/>
    <w:rsid w:val="00E66D34"/>
    <w:rsid w:val="00E70289"/>
    <w:rsid w:val="00E75B43"/>
    <w:rsid w:val="00E82794"/>
    <w:rsid w:val="00E843AA"/>
    <w:rsid w:val="00E85298"/>
    <w:rsid w:val="00EA4099"/>
    <w:rsid w:val="00EA5E2B"/>
    <w:rsid w:val="00EB58E2"/>
    <w:rsid w:val="00EC3AF1"/>
    <w:rsid w:val="00EC4F25"/>
    <w:rsid w:val="00EC5683"/>
    <w:rsid w:val="00ED181C"/>
    <w:rsid w:val="00ED28FF"/>
    <w:rsid w:val="00ED29A4"/>
    <w:rsid w:val="00EE25B8"/>
    <w:rsid w:val="00EE526B"/>
    <w:rsid w:val="00EF189C"/>
    <w:rsid w:val="00EF4424"/>
    <w:rsid w:val="00EF53A0"/>
    <w:rsid w:val="00EF5BC0"/>
    <w:rsid w:val="00EF69EF"/>
    <w:rsid w:val="00EF6C62"/>
    <w:rsid w:val="00F04676"/>
    <w:rsid w:val="00F10DAC"/>
    <w:rsid w:val="00F13636"/>
    <w:rsid w:val="00F1738A"/>
    <w:rsid w:val="00F20A04"/>
    <w:rsid w:val="00F220D3"/>
    <w:rsid w:val="00F35E40"/>
    <w:rsid w:val="00F43506"/>
    <w:rsid w:val="00F44C47"/>
    <w:rsid w:val="00F453B4"/>
    <w:rsid w:val="00F476C5"/>
    <w:rsid w:val="00F57F7C"/>
    <w:rsid w:val="00F60465"/>
    <w:rsid w:val="00F7436B"/>
    <w:rsid w:val="00F814A9"/>
    <w:rsid w:val="00F81726"/>
    <w:rsid w:val="00F84922"/>
    <w:rsid w:val="00F90975"/>
    <w:rsid w:val="00FB2E35"/>
    <w:rsid w:val="00FC0B9F"/>
    <w:rsid w:val="00FC2A3F"/>
    <w:rsid w:val="00FC32FE"/>
    <w:rsid w:val="00FD7366"/>
    <w:rsid w:val="00FE0D9B"/>
    <w:rsid w:val="00FE5E96"/>
    <w:rsid w:val="00FE7229"/>
    <w:rsid w:val="00FF12EA"/>
    <w:rsid w:val="00FF51BE"/>
    <w:rsid w:val="00FF6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E9"/>
    <w:rPr>
      <w:sz w:val="24"/>
      <w:szCs w:val="24"/>
    </w:rPr>
  </w:style>
  <w:style w:type="paragraph" w:styleId="1">
    <w:name w:val="heading 1"/>
    <w:aliases w:val="Заголовок параграфа (1.),Section,level2 hdg,111"/>
    <w:basedOn w:val="a"/>
    <w:next w:val="a"/>
    <w:qFormat/>
    <w:rsid w:val="0015249C"/>
    <w:pPr>
      <w:keepNext/>
      <w:outlineLvl w:val="0"/>
    </w:pPr>
    <w:rPr>
      <w:rFonts w:ascii="Arial" w:hAnsi="Arial" w:cs="Arial"/>
      <w:sz w:val="44"/>
    </w:rPr>
  </w:style>
  <w:style w:type="paragraph" w:styleId="20">
    <w:name w:val="heading 2"/>
    <w:basedOn w:val="a"/>
    <w:next w:val="a"/>
    <w:qFormat/>
    <w:rsid w:val="00D21D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Заголовок подпукта (1.1.1),Level 1 - 1"/>
    <w:basedOn w:val="a"/>
    <w:next w:val="a"/>
    <w:qFormat/>
    <w:rsid w:val="008762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A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15249C"/>
    <w:pPr>
      <w:keepNext/>
      <w:jc w:val="center"/>
      <w:outlineLvl w:val="7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249C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15249C"/>
    <w:pPr>
      <w:jc w:val="center"/>
    </w:pPr>
    <w:rPr>
      <w:b/>
      <w:bCs/>
      <w:sz w:val="28"/>
    </w:rPr>
  </w:style>
  <w:style w:type="paragraph" w:styleId="21">
    <w:name w:val="Body Text Indent 2"/>
    <w:basedOn w:val="a"/>
    <w:rsid w:val="004A4F99"/>
    <w:pPr>
      <w:ind w:firstLine="540"/>
    </w:pPr>
  </w:style>
  <w:style w:type="paragraph" w:customStyle="1" w:styleId="a5">
    <w:basedOn w:val="a"/>
    <w:rsid w:val="002537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233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D2339F"/>
    <w:pPr>
      <w:spacing w:after="120"/>
      <w:ind w:left="283"/>
    </w:pPr>
  </w:style>
  <w:style w:type="character" w:styleId="a8">
    <w:name w:val="Hyperlink"/>
    <w:basedOn w:val="a0"/>
    <w:rsid w:val="00773039"/>
    <w:rPr>
      <w:strike w:val="0"/>
      <w:dstrike w:val="0"/>
      <w:color w:val="1751C9"/>
      <w:u w:val="none"/>
      <w:effect w:val="none"/>
    </w:rPr>
  </w:style>
  <w:style w:type="paragraph" w:styleId="a9">
    <w:name w:val="Normal (Web)"/>
    <w:basedOn w:val="a"/>
    <w:rsid w:val="008969D8"/>
    <w:pPr>
      <w:spacing w:before="45"/>
    </w:pPr>
  </w:style>
  <w:style w:type="character" w:styleId="aa">
    <w:name w:val="Strong"/>
    <w:basedOn w:val="a0"/>
    <w:qFormat/>
    <w:rsid w:val="008969D8"/>
    <w:rPr>
      <w:b/>
      <w:bCs/>
    </w:rPr>
  </w:style>
  <w:style w:type="paragraph" w:styleId="ab">
    <w:name w:val="header"/>
    <w:basedOn w:val="a"/>
    <w:rsid w:val="005032C0"/>
    <w:pPr>
      <w:tabs>
        <w:tab w:val="center" w:pos="4677"/>
        <w:tab w:val="right" w:pos="9355"/>
      </w:tabs>
    </w:pPr>
  </w:style>
  <w:style w:type="paragraph" w:styleId="ac">
    <w:name w:val="Body Text"/>
    <w:basedOn w:val="a"/>
    <w:rsid w:val="00F1738A"/>
    <w:pPr>
      <w:spacing w:after="120"/>
    </w:pPr>
  </w:style>
  <w:style w:type="paragraph" w:customStyle="1" w:styleId="CharChar">
    <w:name w:val="Char Char Знак Знак Знак Знак"/>
    <w:basedOn w:val="a"/>
    <w:rsid w:val="00883D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basedOn w:val="a"/>
    <w:link w:val="ae"/>
    <w:uiPriority w:val="99"/>
    <w:semiHidden/>
    <w:unhideWhenUsed/>
    <w:rsid w:val="00B618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1832"/>
    <w:rPr>
      <w:sz w:val="24"/>
      <w:szCs w:val="24"/>
    </w:rPr>
  </w:style>
  <w:style w:type="paragraph" w:styleId="2">
    <w:name w:val="List Number 2"/>
    <w:basedOn w:val="a"/>
    <w:rsid w:val="00EB58E2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ConsPlusNormal">
    <w:name w:val="ConsPlusNormal"/>
    <w:rsid w:val="00EB58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List Paragraph"/>
    <w:basedOn w:val="a"/>
    <w:uiPriority w:val="99"/>
    <w:qFormat/>
    <w:rsid w:val="00EB58E2"/>
    <w:pPr>
      <w:ind w:left="708"/>
    </w:pPr>
  </w:style>
  <w:style w:type="paragraph" w:styleId="22">
    <w:name w:val="Body Text 2"/>
    <w:basedOn w:val="a"/>
    <w:link w:val="23"/>
    <w:uiPriority w:val="99"/>
    <w:semiHidden/>
    <w:unhideWhenUsed/>
    <w:rsid w:val="004C735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4C7356"/>
    <w:rPr>
      <w:sz w:val="24"/>
      <w:szCs w:val="24"/>
    </w:rPr>
  </w:style>
  <w:style w:type="paragraph" w:styleId="af0">
    <w:name w:val="footnote text"/>
    <w:basedOn w:val="a"/>
    <w:link w:val="af1"/>
    <w:rsid w:val="004C7356"/>
    <w:rPr>
      <w:rFonts w:ascii="Garamond" w:hAnsi="Garamond"/>
      <w:sz w:val="22"/>
      <w:szCs w:val="20"/>
    </w:rPr>
  </w:style>
  <w:style w:type="character" w:customStyle="1" w:styleId="af1">
    <w:name w:val="Текст сноски Знак"/>
    <w:basedOn w:val="a0"/>
    <w:link w:val="af0"/>
    <w:rsid w:val="004C7356"/>
    <w:rPr>
      <w:rFonts w:ascii="Garamond" w:hAnsi="Garamond"/>
      <w:sz w:val="22"/>
    </w:rPr>
  </w:style>
  <w:style w:type="paragraph" w:customStyle="1" w:styleId="10">
    <w:name w:val="Обычный1"/>
    <w:rsid w:val="004C7356"/>
    <w:rPr>
      <w:rFonts w:ascii="Times New Roman CYR" w:hAnsi="Times New Roman CYR"/>
      <w:lang w:val="en-US"/>
    </w:rPr>
  </w:style>
  <w:style w:type="character" w:styleId="af2">
    <w:name w:val="footnote reference"/>
    <w:basedOn w:val="a0"/>
    <w:uiPriority w:val="99"/>
    <w:semiHidden/>
    <w:unhideWhenUsed/>
    <w:rsid w:val="004C7356"/>
    <w:rPr>
      <w:vertAlign w:val="superscript"/>
    </w:rPr>
  </w:style>
  <w:style w:type="paragraph" w:customStyle="1" w:styleId="11">
    <w:name w:val="Обычный1"/>
    <w:rsid w:val="004C7356"/>
    <w:rPr>
      <w:rFonts w:ascii="Times New Roman CYR" w:hAnsi="Times New Roman CYR"/>
      <w:lang w:val="en-US"/>
    </w:rPr>
  </w:style>
  <w:style w:type="paragraph" w:customStyle="1" w:styleId="TOCTitle">
    <w:name w:val="TOC Title"/>
    <w:basedOn w:val="a"/>
    <w:rsid w:val="002057BA"/>
    <w:pPr>
      <w:keepLines/>
      <w:spacing w:before="120" w:after="240"/>
      <w:jc w:val="center"/>
    </w:pPr>
    <w:rPr>
      <w:rFonts w:ascii="Garamond" w:hAnsi="Garamond"/>
      <w:b/>
      <w:sz w:val="32"/>
      <w:szCs w:val="20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EC3AF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0">
    <w:name w:val="Body Text 3"/>
    <w:basedOn w:val="a"/>
    <w:link w:val="31"/>
    <w:rsid w:val="00EC3AF1"/>
    <w:pPr>
      <w:autoSpaceDE w:val="0"/>
      <w:autoSpaceDN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EC3AF1"/>
    <w:rPr>
      <w:sz w:val="16"/>
      <w:szCs w:val="16"/>
    </w:rPr>
  </w:style>
  <w:style w:type="paragraph" w:customStyle="1" w:styleId="xl23">
    <w:name w:val="xl23"/>
    <w:basedOn w:val="a"/>
    <w:rsid w:val="0079255A"/>
    <w:pPr>
      <w:spacing w:before="100" w:beforeAutospacing="1" w:after="100" w:afterAutospacing="1"/>
      <w:textAlignment w:val="top"/>
    </w:pPr>
    <w:rPr>
      <w:rFonts w:ascii="Arial Unicode MS" w:eastAsia="Arial Unicode MS" w:hAnsi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E9"/>
    <w:rPr>
      <w:sz w:val="24"/>
      <w:szCs w:val="24"/>
    </w:rPr>
  </w:style>
  <w:style w:type="paragraph" w:styleId="1">
    <w:name w:val="heading 1"/>
    <w:aliases w:val="Заголовок параграфа (1.),Section,level2 hdg,111"/>
    <w:basedOn w:val="a"/>
    <w:next w:val="a"/>
    <w:qFormat/>
    <w:rsid w:val="0015249C"/>
    <w:pPr>
      <w:keepNext/>
      <w:outlineLvl w:val="0"/>
    </w:pPr>
    <w:rPr>
      <w:rFonts w:ascii="Arial" w:hAnsi="Arial" w:cs="Arial"/>
      <w:sz w:val="44"/>
    </w:rPr>
  </w:style>
  <w:style w:type="paragraph" w:styleId="20">
    <w:name w:val="heading 2"/>
    <w:basedOn w:val="a"/>
    <w:next w:val="a"/>
    <w:qFormat/>
    <w:rsid w:val="00D21D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Заголовок подпукта (1.1.1),Level 1 - 1"/>
    <w:basedOn w:val="a"/>
    <w:next w:val="a"/>
    <w:qFormat/>
    <w:rsid w:val="008762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A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15249C"/>
    <w:pPr>
      <w:keepNext/>
      <w:jc w:val="center"/>
      <w:outlineLvl w:val="7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249C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15249C"/>
    <w:pPr>
      <w:jc w:val="center"/>
    </w:pPr>
    <w:rPr>
      <w:b/>
      <w:bCs/>
      <w:sz w:val="28"/>
    </w:rPr>
  </w:style>
  <w:style w:type="paragraph" w:styleId="21">
    <w:name w:val="Body Text Indent 2"/>
    <w:basedOn w:val="a"/>
    <w:rsid w:val="004A4F99"/>
    <w:pPr>
      <w:ind w:firstLine="540"/>
    </w:pPr>
  </w:style>
  <w:style w:type="paragraph" w:customStyle="1" w:styleId="a5">
    <w:basedOn w:val="a"/>
    <w:rsid w:val="002537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233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D2339F"/>
    <w:pPr>
      <w:spacing w:after="120"/>
      <w:ind w:left="283"/>
    </w:pPr>
  </w:style>
  <w:style w:type="character" w:styleId="a8">
    <w:name w:val="Hyperlink"/>
    <w:basedOn w:val="a0"/>
    <w:rsid w:val="00773039"/>
    <w:rPr>
      <w:strike w:val="0"/>
      <w:dstrike w:val="0"/>
      <w:color w:val="1751C9"/>
      <w:u w:val="none"/>
      <w:effect w:val="none"/>
    </w:rPr>
  </w:style>
  <w:style w:type="paragraph" w:styleId="a9">
    <w:name w:val="Normal (Web)"/>
    <w:basedOn w:val="a"/>
    <w:rsid w:val="008969D8"/>
    <w:pPr>
      <w:spacing w:before="45"/>
    </w:pPr>
  </w:style>
  <w:style w:type="character" w:styleId="aa">
    <w:name w:val="Strong"/>
    <w:basedOn w:val="a0"/>
    <w:qFormat/>
    <w:rsid w:val="008969D8"/>
    <w:rPr>
      <w:b/>
      <w:bCs/>
    </w:rPr>
  </w:style>
  <w:style w:type="paragraph" w:styleId="ab">
    <w:name w:val="header"/>
    <w:basedOn w:val="a"/>
    <w:rsid w:val="005032C0"/>
    <w:pPr>
      <w:tabs>
        <w:tab w:val="center" w:pos="4677"/>
        <w:tab w:val="right" w:pos="9355"/>
      </w:tabs>
    </w:pPr>
  </w:style>
  <w:style w:type="paragraph" w:styleId="ac">
    <w:name w:val="Body Text"/>
    <w:basedOn w:val="a"/>
    <w:rsid w:val="00F1738A"/>
    <w:pPr>
      <w:spacing w:after="120"/>
    </w:pPr>
  </w:style>
  <w:style w:type="paragraph" w:customStyle="1" w:styleId="CharChar">
    <w:name w:val="Char Char Знак Знак Знак Знак"/>
    <w:basedOn w:val="a"/>
    <w:rsid w:val="00883D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er"/>
    <w:basedOn w:val="a"/>
    <w:link w:val="ae"/>
    <w:uiPriority w:val="99"/>
    <w:semiHidden/>
    <w:unhideWhenUsed/>
    <w:rsid w:val="00B618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1832"/>
    <w:rPr>
      <w:sz w:val="24"/>
      <w:szCs w:val="24"/>
    </w:rPr>
  </w:style>
  <w:style w:type="paragraph" w:styleId="2">
    <w:name w:val="List Number 2"/>
    <w:basedOn w:val="a"/>
    <w:rsid w:val="00EB58E2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ConsPlusNormal">
    <w:name w:val="ConsPlusNormal"/>
    <w:rsid w:val="00EB58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List Paragraph"/>
    <w:basedOn w:val="a"/>
    <w:uiPriority w:val="99"/>
    <w:qFormat/>
    <w:rsid w:val="00EB58E2"/>
    <w:pPr>
      <w:ind w:left="708"/>
    </w:pPr>
  </w:style>
  <w:style w:type="paragraph" w:styleId="22">
    <w:name w:val="Body Text 2"/>
    <w:basedOn w:val="a"/>
    <w:link w:val="23"/>
    <w:uiPriority w:val="99"/>
    <w:semiHidden/>
    <w:unhideWhenUsed/>
    <w:rsid w:val="004C735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4C7356"/>
    <w:rPr>
      <w:sz w:val="24"/>
      <w:szCs w:val="24"/>
    </w:rPr>
  </w:style>
  <w:style w:type="paragraph" w:styleId="af0">
    <w:name w:val="footnote text"/>
    <w:basedOn w:val="a"/>
    <w:link w:val="af1"/>
    <w:rsid w:val="004C7356"/>
    <w:rPr>
      <w:rFonts w:ascii="Garamond" w:hAnsi="Garamond"/>
      <w:sz w:val="22"/>
      <w:szCs w:val="20"/>
    </w:rPr>
  </w:style>
  <w:style w:type="character" w:customStyle="1" w:styleId="af1">
    <w:name w:val="Текст сноски Знак"/>
    <w:basedOn w:val="a0"/>
    <w:link w:val="af0"/>
    <w:rsid w:val="004C7356"/>
    <w:rPr>
      <w:rFonts w:ascii="Garamond" w:hAnsi="Garamond"/>
      <w:sz w:val="22"/>
    </w:rPr>
  </w:style>
  <w:style w:type="paragraph" w:customStyle="1" w:styleId="10">
    <w:name w:val="Обычный1"/>
    <w:rsid w:val="004C7356"/>
    <w:rPr>
      <w:rFonts w:ascii="Times New Roman CYR" w:hAnsi="Times New Roman CYR"/>
      <w:lang w:val="en-US"/>
    </w:rPr>
  </w:style>
  <w:style w:type="character" w:styleId="af2">
    <w:name w:val="footnote reference"/>
    <w:basedOn w:val="a0"/>
    <w:uiPriority w:val="99"/>
    <w:semiHidden/>
    <w:unhideWhenUsed/>
    <w:rsid w:val="004C7356"/>
    <w:rPr>
      <w:vertAlign w:val="superscript"/>
    </w:rPr>
  </w:style>
  <w:style w:type="paragraph" w:customStyle="1" w:styleId="11">
    <w:name w:val="Обычный1"/>
    <w:rsid w:val="004C7356"/>
    <w:rPr>
      <w:rFonts w:ascii="Times New Roman CYR" w:hAnsi="Times New Roman CYR"/>
      <w:lang w:val="en-US"/>
    </w:rPr>
  </w:style>
  <w:style w:type="paragraph" w:customStyle="1" w:styleId="TOCTitle">
    <w:name w:val="TOC Title"/>
    <w:basedOn w:val="a"/>
    <w:rsid w:val="002057BA"/>
    <w:pPr>
      <w:keepLines/>
      <w:spacing w:before="120" w:after="240"/>
      <w:jc w:val="center"/>
    </w:pPr>
    <w:rPr>
      <w:rFonts w:ascii="Garamond" w:hAnsi="Garamond"/>
      <w:b/>
      <w:sz w:val="32"/>
      <w:szCs w:val="20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EC3AF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0">
    <w:name w:val="Body Text 3"/>
    <w:basedOn w:val="a"/>
    <w:link w:val="31"/>
    <w:rsid w:val="00EC3AF1"/>
    <w:pPr>
      <w:autoSpaceDE w:val="0"/>
      <w:autoSpaceDN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EC3AF1"/>
    <w:rPr>
      <w:sz w:val="16"/>
      <w:szCs w:val="16"/>
    </w:rPr>
  </w:style>
  <w:style w:type="paragraph" w:customStyle="1" w:styleId="xl23">
    <w:name w:val="xl23"/>
    <w:basedOn w:val="a"/>
    <w:rsid w:val="0079255A"/>
    <w:pPr>
      <w:spacing w:before="100" w:beforeAutospacing="1" w:after="100" w:afterAutospacing="1"/>
      <w:textAlignment w:val="top"/>
    </w:pPr>
    <w:rPr>
      <w:rFonts w:ascii="Arial Unicode MS" w:eastAsia="Arial Unicode MS" w:hAnsi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57E3-0EEC-499F-9E54-CD252A9D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2013-02-20T12:43:00Z</dcterms:created>
  <dcterms:modified xsi:type="dcterms:W3CDTF">2013-02-22T11:22:00Z</dcterms:modified>
</cp:coreProperties>
</file>